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徐南库房备用及变电所隐患整改金具辅材采购项目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徐南库房备用及变电所隐患整改金具辅材采购项目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9345" w:type="dxa"/>
        <w:tblInd w:w="-48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1786"/>
        <w:gridCol w:w="2850"/>
        <w:gridCol w:w="968"/>
        <w:gridCol w:w="1037"/>
        <w:gridCol w:w="196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农药喷洒器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8L，手动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管港变及封跳变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除草剂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快杀500毫升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管港变及封跳变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DT-150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库房备用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DT-240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库房备用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避雷器横担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L63*6*1700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库房备用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电缆钢管支架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D230*60*6（后面为角铁焊接的样式）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库房备用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φ16*320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库房备用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防水绝缘胶带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1.65mm厚*50mm宽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库房备用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冷缩直管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 70-120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库房备用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NXJ-10kv-70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库房备用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NXJ-10kv-95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库房备用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NXJ-10kv-120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库房备用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NXJ-10kv-150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库房备用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10KV户外冷缩终端附件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70-120户外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库房备用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铝芯聚氯乙烯绝缘电线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BLV-4,100米/盘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库房备用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合同签订后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41550.00元（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 xml:space="preserve">伏先生 </w:t>
      </w:r>
      <w:bookmarkStart w:id="5" w:name="_GoBack"/>
      <w:bookmarkEnd w:id="5"/>
      <w:r>
        <w:rPr>
          <w:rFonts w:hint="eastAsia" w:ascii="宋体" w:hAnsi="宋体" w:cs="宋体"/>
          <w:sz w:val="24"/>
          <w:lang w:val="en-US" w:eastAsia="zh-CN"/>
        </w:rPr>
        <w:t xml:space="preserve">         电话：13505135996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03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7376"/>
      <w:bookmarkStart w:id="2" w:name="_Toc61871372"/>
      <w:bookmarkStart w:id="3" w:name="_Toc61871288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A1658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403328"/>
    <w:rsid w:val="02654CB1"/>
    <w:rsid w:val="028916DF"/>
    <w:rsid w:val="02AA0BB1"/>
    <w:rsid w:val="04964401"/>
    <w:rsid w:val="04B241CB"/>
    <w:rsid w:val="04B52C5F"/>
    <w:rsid w:val="05495782"/>
    <w:rsid w:val="05500BDA"/>
    <w:rsid w:val="05706FE5"/>
    <w:rsid w:val="05E92F65"/>
    <w:rsid w:val="06B37672"/>
    <w:rsid w:val="06F757B1"/>
    <w:rsid w:val="07732311"/>
    <w:rsid w:val="080A06A7"/>
    <w:rsid w:val="083A65C4"/>
    <w:rsid w:val="08A96810"/>
    <w:rsid w:val="0A3638C9"/>
    <w:rsid w:val="0A5A0703"/>
    <w:rsid w:val="0BF10BA6"/>
    <w:rsid w:val="0D785E51"/>
    <w:rsid w:val="0DFA7314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A227BD"/>
    <w:rsid w:val="11D719B9"/>
    <w:rsid w:val="12377C75"/>
    <w:rsid w:val="12960FB7"/>
    <w:rsid w:val="13401E6A"/>
    <w:rsid w:val="137A57A0"/>
    <w:rsid w:val="137F5319"/>
    <w:rsid w:val="13E511E6"/>
    <w:rsid w:val="14057B62"/>
    <w:rsid w:val="156863F4"/>
    <w:rsid w:val="157838C2"/>
    <w:rsid w:val="15C529EA"/>
    <w:rsid w:val="16BD7DED"/>
    <w:rsid w:val="178640CA"/>
    <w:rsid w:val="17B339D8"/>
    <w:rsid w:val="17C9440E"/>
    <w:rsid w:val="18DF3CE9"/>
    <w:rsid w:val="1A0863A5"/>
    <w:rsid w:val="1B523C11"/>
    <w:rsid w:val="1C5D5B32"/>
    <w:rsid w:val="1D4B1478"/>
    <w:rsid w:val="1DAF24EA"/>
    <w:rsid w:val="1DBB1976"/>
    <w:rsid w:val="1DF56DD3"/>
    <w:rsid w:val="1E127068"/>
    <w:rsid w:val="1F1979A7"/>
    <w:rsid w:val="1F572E39"/>
    <w:rsid w:val="1F8A6A8E"/>
    <w:rsid w:val="209C2412"/>
    <w:rsid w:val="21374DE7"/>
    <w:rsid w:val="2199699D"/>
    <w:rsid w:val="22877591"/>
    <w:rsid w:val="22E0346A"/>
    <w:rsid w:val="23F70746"/>
    <w:rsid w:val="25653BB7"/>
    <w:rsid w:val="25710060"/>
    <w:rsid w:val="258D6F73"/>
    <w:rsid w:val="261E1082"/>
    <w:rsid w:val="26F86CAF"/>
    <w:rsid w:val="27743463"/>
    <w:rsid w:val="28B317DA"/>
    <w:rsid w:val="28BE7A85"/>
    <w:rsid w:val="28CD567C"/>
    <w:rsid w:val="296D68A7"/>
    <w:rsid w:val="29B669AE"/>
    <w:rsid w:val="29F11758"/>
    <w:rsid w:val="2A19588C"/>
    <w:rsid w:val="2C582C57"/>
    <w:rsid w:val="2C751A6A"/>
    <w:rsid w:val="2CB247E9"/>
    <w:rsid w:val="2D670841"/>
    <w:rsid w:val="31180264"/>
    <w:rsid w:val="321A3C3D"/>
    <w:rsid w:val="331128CC"/>
    <w:rsid w:val="33AB2DFB"/>
    <w:rsid w:val="34EB4A02"/>
    <w:rsid w:val="35A41B43"/>
    <w:rsid w:val="376322BC"/>
    <w:rsid w:val="384635F3"/>
    <w:rsid w:val="3875700F"/>
    <w:rsid w:val="39993E40"/>
    <w:rsid w:val="3A5032E7"/>
    <w:rsid w:val="3A6A792B"/>
    <w:rsid w:val="3AA21814"/>
    <w:rsid w:val="3AAB5061"/>
    <w:rsid w:val="3B491B00"/>
    <w:rsid w:val="3B5D4A7E"/>
    <w:rsid w:val="3BC75965"/>
    <w:rsid w:val="3BF2259F"/>
    <w:rsid w:val="3C260463"/>
    <w:rsid w:val="3C72517B"/>
    <w:rsid w:val="3CFC70CA"/>
    <w:rsid w:val="3E9A2461"/>
    <w:rsid w:val="3EDC73DD"/>
    <w:rsid w:val="400144C3"/>
    <w:rsid w:val="40036A20"/>
    <w:rsid w:val="40210AB0"/>
    <w:rsid w:val="404228F2"/>
    <w:rsid w:val="409A272E"/>
    <w:rsid w:val="40D60B80"/>
    <w:rsid w:val="41BD2505"/>
    <w:rsid w:val="42140EA8"/>
    <w:rsid w:val="42734EFD"/>
    <w:rsid w:val="42D052AE"/>
    <w:rsid w:val="4359486F"/>
    <w:rsid w:val="435C6356"/>
    <w:rsid w:val="446C4029"/>
    <w:rsid w:val="44A43B7B"/>
    <w:rsid w:val="451F3F2C"/>
    <w:rsid w:val="453254A3"/>
    <w:rsid w:val="454D75BE"/>
    <w:rsid w:val="45AE2934"/>
    <w:rsid w:val="45FB6BB6"/>
    <w:rsid w:val="461D3BE5"/>
    <w:rsid w:val="46674297"/>
    <w:rsid w:val="46D633A5"/>
    <w:rsid w:val="477214B2"/>
    <w:rsid w:val="482512D8"/>
    <w:rsid w:val="488134C6"/>
    <w:rsid w:val="48962471"/>
    <w:rsid w:val="49C23727"/>
    <w:rsid w:val="49EE10E3"/>
    <w:rsid w:val="4A242B72"/>
    <w:rsid w:val="4A445444"/>
    <w:rsid w:val="4B17289A"/>
    <w:rsid w:val="4B2844F3"/>
    <w:rsid w:val="4B2B4CF5"/>
    <w:rsid w:val="4B472BC2"/>
    <w:rsid w:val="4D58684A"/>
    <w:rsid w:val="4D903FFE"/>
    <w:rsid w:val="4DA5179B"/>
    <w:rsid w:val="4DD16AAC"/>
    <w:rsid w:val="4E7D7917"/>
    <w:rsid w:val="4EA8070C"/>
    <w:rsid w:val="4FB33A43"/>
    <w:rsid w:val="50C34CE5"/>
    <w:rsid w:val="50DC5CB3"/>
    <w:rsid w:val="51261967"/>
    <w:rsid w:val="51D72A7B"/>
    <w:rsid w:val="51E34706"/>
    <w:rsid w:val="52C364DC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6D71B8E"/>
    <w:rsid w:val="56FA387B"/>
    <w:rsid w:val="57057D08"/>
    <w:rsid w:val="5846750D"/>
    <w:rsid w:val="599E1B42"/>
    <w:rsid w:val="599E4D73"/>
    <w:rsid w:val="5A4F7C8D"/>
    <w:rsid w:val="5A7259C5"/>
    <w:rsid w:val="5A963B0E"/>
    <w:rsid w:val="5B0416A8"/>
    <w:rsid w:val="5B215ACE"/>
    <w:rsid w:val="5C5F030B"/>
    <w:rsid w:val="5D4F3D43"/>
    <w:rsid w:val="5F712CC8"/>
    <w:rsid w:val="5F8E09FE"/>
    <w:rsid w:val="5FF80052"/>
    <w:rsid w:val="60171399"/>
    <w:rsid w:val="60AC0C42"/>
    <w:rsid w:val="615B411F"/>
    <w:rsid w:val="61651638"/>
    <w:rsid w:val="61A20F78"/>
    <w:rsid w:val="62277FB2"/>
    <w:rsid w:val="625F19EC"/>
    <w:rsid w:val="62CF4061"/>
    <w:rsid w:val="62E0210B"/>
    <w:rsid w:val="63917746"/>
    <w:rsid w:val="63BC45E5"/>
    <w:rsid w:val="64F824D7"/>
    <w:rsid w:val="652C07E4"/>
    <w:rsid w:val="65442AE4"/>
    <w:rsid w:val="654E74BF"/>
    <w:rsid w:val="657E7DB4"/>
    <w:rsid w:val="66A6332B"/>
    <w:rsid w:val="6817628E"/>
    <w:rsid w:val="68442DFB"/>
    <w:rsid w:val="698C4A5A"/>
    <w:rsid w:val="69E61117"/>
    <w:rsid w:val="6AD432EA"/>
    <w:rsid w:val="6CA80668"/>
    <w:rsid w:val="6D171304"/>
    <w:rsid w:val="6D5E354D"/>
    <w:rsid w:val="6E123E67"/>
    <w:rsid w:val="6FD05675"/>
    <w:rsid w:val="708D0D4A"/>
    <w:rsid w:val="70C40C1C"/>
    <w:rsid w:val="71487932"/>
    <w:rsid w:val="71FD4A4D"/>
    <w:rsid w:val="725256DA"/>
    <w:rsid w:val="727B566C"/>
    <w:rsid w:val="73171838"/>
    <w:rsid w:val="75224837"/>
    <w:rsid w:val="753B2405"/>
    <w:rsid w:val="76074DF1"/>
    <w:rsid w:val="76135B49"/>
    <w:rsid w:val="76B80849"/>
    <w:rsid w:val="775018D4"/>
    <w:rsid w:val="77A17922"/>
    <w:rsid w:val="791F39B7"/>
    <w:rsid w:val="7AE5230C"/>
    <w:rsid w:val="7B1B6C2F"/>
    <w:rsid w:val="7B21451B"/>
    <w:rsid w:val="7BBC0535"/>
    <w:rsid w:val="7CAF14B1"/>
    <w:rsid w:val="7CB61BD5"/>
    <w:rsid w:val="7CCE6599"/>
    <w:rsid w:val="7E8824D2"/>
    <w:rsid w:val="7F7B314F"/>
    <w:rsid w:val="7F827B61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5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3031</Words>
  <Characters>3380</Characters>
  <Lines>0</Lines>
  <Paragraphs>0</Paragraphs>
  <TotalTime>0</TotalTime>
  <ScaleCrop>false</ScaleCrop>
  <LinksUpToDate>false</LinksUpToDate>
  <CharactersWithSpaces>3883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2023-03-06T08:16:00Z</cp:lastPrinted>
  <dcterms:modified xsi:type="dcterms:W3CDTF">2023-03-27T00:32:17Z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64A5E1E7AFE147A985082E4EF35B740E</vt:lpwstr>
  </property>
</Properties>
</file>