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台北新海高中开发区校区地块架空线路迁改工程土建项目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台北新海高中开发区校区地块架空线路迁改工程</w:t>
      </w:r>
      <w:r>
        <w:rPr>
          <w:rFonts w:hint="eastAsia" w:ascii="宋体" w:hAnsi="宋体" w:cs="宋体"/>
          <w:sz w:val="24"/>
          <w:u w:val="single"/>
          <w:lang w:eastAsia="zh-CN"/>
        </w:rPr>
        <w:t>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885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294"/>
        <w:gridCol w:w="2375"/>
        <w:gridCol w:w="1175"/>
        <w:gridCol w:w="1125"/>
        <w:gridCol w:w="10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顶管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（</w:t>
            </w:r>
            <w:r>
              <w:rPr>
                <w:rStyle w:val="22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2*Φ200*10MPP</w:t>
            </w:r>
            <w:r>
              <w:rPr>
                <w:rStyle w:val="21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电缆保护包封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（</w:t>
            </w:r>
            <w:r>
              <w:rPr>
                <w:rStyle w:val="22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0.7m*1.25m</w:t>
            </w:r>
            <w:r>
              <w:rPr>
                <w:rStyle w:val="21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电缆分支箱基础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环网柜基础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混凝土电缆检查井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（</w:t>
            </w:r>
            <w:r>
              <w:rPr>
                <w:rStyle w:val="22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2m*2m*1.2m</w:t>
            </w:r>
            <w:r>
              <w:rPr>
                <w:rStyle w:val="21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原八角井开孔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</w:tbl>
    <w:p>
      <w:pPr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21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28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4、投标人具备建筑或市政施工承包三级以上资质（含三级），具备建筑施工安全生产许可证，具备二级及以上建筑、市政注册建造师，具备现场专职安全员。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、投标人在近三年内具有与本次招标项目类似工程业绩，合同额15万元以上不少于2项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cs="宋体"/>
          <w:sz w:val="24"/>
        </w:rPr>
        <w:t>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157922.69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</w:t>
      </w:r>
      <w:r>
        <w:rPr>
          <w:rFonts w:hint="eastAsia" w:ascii="宋体" w:hAnsi="宋体" w:cs="宋体"/>
          <w:sz w:val="24"/>
        </w:rPr>
        <w:t>工程业绩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（9%税率）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（请与联系人联系获取图纸和清单）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17751876173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560" w:firstLine="480" w:firstLineChars="200"/>
        <w:jc w:val="center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17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ind w:left="0" w:leftChars="0" w:firstLine="0" w:firstLineChars="0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5、建筑业企业资质证书；项目经理建造师证书（复印件加盖公章）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6、工程业绩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highlight w:val="yellow"/>
          <w:lang w:eastAsia="zh-CN"/>
        </w:rPr>
        <w:t>包含建筑（安装）工程一切险及安全生产责任险</w:t>
      </w:r>
      <w:r>
        <w:rPr>
          <w:rFonts w:hint="eastAsia"/>
          <w:b/>
          <w:bCs/>
          <w:lang w:eastAsia="zh-CN"/>
        </w:rPr>
        <w:t>）、税费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numPr>
          <w:ilvl w:val="0"/>
          <w:numId w:val="2"/>
        </w:numPr>
        <w:spacing w:line="360" w:lineRule="auto"/>
        <w:ind w:left="469" w:leftChars="0" w:firstLine="371" w:firstLineChars="0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numPr>
          <w:ilvl w:val="0"/>
          <w:numId w:val="0"/>
        </w:numPr>
        <w:spacing w:line="360" w:lineRule="auto"/>
        <w:ind w:left="840" w:leftChars="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报价人需自行投保建筑（安装）工程一切险及安全生产责任险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加盖公章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建筑业企业资质证书；项目经理建造师证书（复印件加盖公章）</w:t>
      </w: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工程业绩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（加盖公章）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1518920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19.6pt;height:34.1pt;width:128.85pt;z-index:251659264;v-text-anchor:middle;mso-width-relative:page;mso-height-relative:page;" filled="f" stroked="t" coordsize="21600,21600" o:gfxdata="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SkYSv9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1442085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3.55pt;height:40.9pt;width:93.45pt;z-index:251660288;v-text-anchor:middle;mso-width-relative:page;mso-height-relative:page;" filled="f" stroked="t" coordsize="21600,21600" o:gfxdata="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gF6mb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D38C"/>
    <w:multiLevelType w:val="singleLevel"/>
    <w:tmpl w:val="A616D38C"/>
    <w:lvl w:ilvl="0" w:tentative="0">
      <w:start w:val="1"/>
      <w:numFmt w:val="decimal"/>
      <w:suff w:val="nothing"/>
      <w:lvlText w:val="%1、"/>
      <w:lvlJc w:val="left"/>
      <w:pPr>
        <w:ind w:left="45"/>
      </w:pPr>
    </w:lvl>
  </w:abstractNum>
  <w:abstractNum w:abstractNumId="1">
    <w:nsid w:val="430D9F9A"/>
    <w:multiLevelType w:val="singleLevel"/>
    <w:tmpl w:val="430D9F9A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C0E6455"/>
    <w:rsid w:val="0C994C14"/>
    <w:rsid w:val="0D1C756F"/>
    <w:rsid w:val="0D785E51"/>
    <w:rsid w:val="0E6A08A6"/>
    <w:rsid w:val="0E993CB5"/>
    <w:rsid w:val="0FB232A2"/>
    <w:rsid w:val="102571A5"/>
    <w:rsid w:val="103528C7"/>
    <w:rsid w:val="10447193"/>
    <w:rsid w:val="10685553"/>
    <w:rsid w:val="107D77B2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A684B06"/>
    <w:rsid w:val="1B9625A1"/>
    <w:rsid w:val="1BD25A4D"/>
    <w:rsid w:val="1D4B1478"/>
    <w:rsid w:val="1E127068"/>
    <w:rsid w:val="1F1979A7"/>
    <w:rsid w:val="2091237A"/>
    <w:rsid w:val="209C2412"/>
    <w:rsid w:val="21274065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722630B"/>
    <w:rsid w:val="27743463"/>
    <w:rsid w:val="27D36DD5"/>
    <w:rsid w:val="28CD567C"/>
    <w:rsid w:val="292D0766"/>
    <w:rsid w:val="2A19588C"/>
    <w:rsid w:val="2AAE58D7"/>
    <w:rsid w:val="2C582C57"/>
    <w:rsid w:val="2C751A6A"/>
    <w:rsid w:val="2CB247E9"/>
    <w:rsid w:val="2D670841"/>
    <w:rsid w:val="2D811081"/>
    <w:rsid w:val="2F005368"/>
    <w:rsid w:val="30A57FC3"/>
    <w:rsid w:val="321A3C3D"/>
    <w:rsid w:val="32747406"/>
    <w:rsid w:val="331128CC"/>
    <w:rsid w:val="33AB2DFB"/>
    <w:rsid w:val="34957179"/>
    <w:rsid w:val="34A20388"/>
    <w:rsid w:val="34EB4A02"/>
    <w:rsid w:val="365F3B54"/>
    <w:rsid w:val="376322BC"/>
    <w:rsid w:val="38374B16"/>
    <w:rsid w:val="39993E40"/>
    <w:rsid w:val="3A380A5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51D72A7B"/>
    <w:rsid w:val="51E34706"/>
    <w:rsid w:val="52473DBA"/>
    <w:rsid w:val="535541BB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ECC7AFE"/>
    <w:rsid w:val="5FCA0621"/>
    <w:rsid w:val="5FF80052"/>
    <w:rsid w:val="60171399"/>
    <w:rsid w:val="60A001FA"/>
    <w:rsid w:val="60AC0C42"/>
    <w:rsid w:val="61A20F78"/>
    <w:rsid w:val="626D15F8"/>
    <w:rsid w:val="63047358"/>
    <w:rsid w:val="63A31AEE"/>
    <w:rsid w:val="66A258D9"/>
    <w:rsid w:val="66C44C07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E123E67"/>
    <w:rsid w:val="6E7764D5"/>
    <w:rsid w:val="6EE70791"/>
    <w:rsid w:val="6F8D5088"/>
    <w:rsid w:val="6FD05675"/>
    <w:rsid w:val="71487932"/>
    <w:rsid w:val="71FD4A4D"/>
    <w:rsid w:val="720B15F6"/>
    <w:rsid w:val="725256DA"/>
    <w:rsid w:val="76074DF1"/>
    <w:rsid w:val="76097D86"/>
    <w:rsid w:val="76135B49"/>
    <w:rsid w:val="775018D4"/>
    <w:rsid w:val="77B22666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2953</Words>
  <Characters>3225</Characters>
  <Lines>0</Lines>
  <Paragraphs>0</Paragraphs>
  <TotalTime>0</TotalTime>
  <ScaleCrop>false</ScaleCrop>
  <LinksUpToDate>false</LinksUpToDate>
  <CharactersWithSpaces>3734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2023-04-17T09:30:39Z</cp:lastPrinted>
  <dcterms:modified xsi:type="dcterms:W3CDTF">2023-04-17T09:39:35Z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64A5E1E7AFE147A985082E4EF35B740E</vt:lpwstr>
  </property>
</Properties>
</file>