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裸导线更换项目物资采购金具辅材项目公开询价</w:t>
      </w:r>
      <w:r>
        <w:rPr>
          <w:rFonts w:hint="eastAsia" w:ascii="微软雅黑" w:hAnsi="微软雅黑" w:eastAsia="微软雅黑" w:cs="微软雅黑"/>
          <w:b/>
          <w:bCs/>
          <w:sz w:val="32"/>
          <w:szCs w:val="40"/>
        </w:rPr>
        <w:t>函</w:t>
      </w: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裸导线更换项目物资采购金具辅材项目</w:t>
      </w:r>
      <w:r>
        <w:rPr>
          <w:rFonts w:hint="eastAsia" w:ascii="宋体" w:hAnsi="宋体" w:cs="宋体"/>
          <w:sz w:val="24"/>
          <w:shd w:val="clear" w:color="auto" w:fill="FFFFFF"/>
        </w:rPr>
        <w:t>进行</w:t>
      </w:r>
      <w:r>
        <w:rPr>
          <w:rFonts w:hint="eastAsia" w:ascii="宋体" w:hAnsi="宋体" w:cs="宋体"/>
          <w:sz w:val="24"/>
          <w:shd w:val="clear" w:color="auto" w:fill="FFFFFF"/>
          <w:lang w:eastAsia="zh-CN"/>
        </w:rPr>
        <w:t>公开询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5532" w:type="pct"/>
        <w:tblInd w:w="-304" w:type="dxa"/>
        <w:shd w:val="clear" w:color="auto" w:fill="auto"/>
        <w:tblLayout w:type="fixed"/>
        <w:tblCellMar>
          <w:top w:w="0" w:type="dxa"/>
          <w:left w:w="0" w:type="dxa"/>
          <w:bottom w:w="0" w:type="dxa"/>
          <w:right w:w="0" w:type="dxa"/>
        </w:tblCellMar>
      </w:tblPr>
      <w:tblGrid>
        <w:gridCol w:w="775"/>
        <w:gridCol w:w="1894"/>
        <w:gridCol w:w="2437"/>
        <w:gridCol w:w="913"/>
        <w:gridCol w:w="987"/>
        <w:gridCol w:w="2225"/>
      </w:tblGrid>
      <w:tr>
        <w:tblPrEx>
          <w:tblCellMar>
            <w:top w:w="0" w:type="dxa"/>
            <w:left w:w="0" w:type="dxa"/>
            <w:bottom w:w="0" w:type="dxa"/>
            <w:right w:w="0" w:type="dxa"/>
          </w:tblCellMar>
        </w:tblPrEx>
        <w:trPr>
          <w:trHeight w:val="450" w:hRule="atLeast"/>
        </w:trPr>
        <w:tc>
          <w:tcPr>
            <w:tcW w:w="41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序号</w:t>
            </w:r>
          </w:p>
        </w:tc>
        <w:tc>
          <w:tcPr>
            <w:tcW w:w="102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货物名称</w:t>
            </w:r>
          </w:p>
        </w:tc>
        <w:tc>
          <w:tcPr>
            <w:tcW w:w="13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4"/>
                <w:szCs w:val="24"/>
                <w:u w:val="none"/>
              </w:rPr>
            </w:pPr>
            <w:r>
              <w:rPr>
                <w:rFonts w:hint="eastAsia" w:ascii="宋体" w:hAnsi="宋体" w:eastAsia="宋体" w:cs="宋体"/>
                <w:i w:val="0"/>
                <w:color w:val="333333"/>
                <w:kern w:val="0"/>
                <w:sz w:val="24"/>
                <w:szCs w:val="24"/>
                <w:u w:val="none"/>
                <w:lang w:val="en-US" w:eastAsia="zh-CN" w:bidi="ar"/>
              </w:rPr>
              <w:t>规格要求</w:t>
            </w:r>
          </w:p>
        </w:tc>
        <w:tc>
          <w:tcPr>
            <w:tcW w:w="49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53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20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钢绞线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GJ-35</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KG</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384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000000"/>
                <w:kern w:val="0"/>
                <w:sz w:val="21"/>
                <w:szCs w:val="21"/>
                <w:u w:val="none"/>
                <w:lang w:val="en-US" w:eastAsia="zh-CN" w:bidi="ar"/>
              </w:rPr>
              <w:t>244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140</w:t>
            </w:r>
          </w:p>
        </w:tc>
      </w:tr>
      <w:tr>
        <w:tblPrEx>
          <w:shd w:val="clear" w:color="auto" w:fill="auto"/>
          <w:tblCellMar>
            <w:top w:w="0" w:type="dxa"/>
            <w:left w:w="0" w:type="dxa"/>
            <w:bottom w:w="0" w:type="dxa"/>
            <w:right w:w="0" w:type="dxa"/>
          </w:tblCellMar>
        </w:tblPrEx>
        <w:trPr>
          <w:trHeight w:val="643"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钢绞线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GJ-50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KG</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1448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000000"/>
                <w:kern w:val="0"/>
                <w:sz w:val="21"/>
                <w:szCs w:val="21"/>
                <w:u w:val="none"/>
                <w:lang w:val="en-US" w:eastAsia="zh-CN" w:bidi="ar"/>
              </w:rPr>
              <w:t>1048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400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耐候性绝缘绑扎线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JKLY-4mm2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米</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1587</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000000"/>
                <w:kern w:val="0"/>
                <w:sz w:val="21"/>
                <w:szCs w:val="21"/>
                <w:u w:val="none"/>
                <w:lang w:val="en-US" w:eastAsia="zh-CN" w:bidi="ar"/>
              </w:rPr>
              <w:t>768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819</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故障指示器</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SEFI-1S（四合一）</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153</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78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75</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避雷器</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HY5WS-17/50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72</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40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避雷器横担</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∠63×6×1500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避雷器联板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-6×60×313</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282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192</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90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UT线夹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UT-2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U型抱箍</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U18-190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291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129</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162</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U型抱箍</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U18-210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U型抱箍</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U18-230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扁铁抱箍</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φ190-加强</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付</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163</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126</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并沟线夹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JBB-1</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224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144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80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瓷横担</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S-210/150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单帽螺栓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M16×50（全扣）</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单帽螺栓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M16×90（全扣）</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252</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74</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单帽螺栓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554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216</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338</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方垫片</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M21.5×65×65×8</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194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56</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钢丝卡子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JK-1</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1176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876</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300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过河连板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配合低压线路耐张金具串安装-63×6×300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接地极</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∠50×5×2500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87</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57</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接地装置</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Ⅱ型接地装置</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绝缘穿刺线夹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JJC10-150/150mm2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361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120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绝缘穿刺线夹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JJC10-150/50mm2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336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216</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120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绝缘接地挂环</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10kV-150mm2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159</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114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45</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绝缘耐张线夹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NX-IY-10kV/150mm2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201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绝缘耐张线夹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NX-IY-1kV/150mm2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208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卡盘抱箍</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U20-384</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97</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69</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28</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拉紧绝缘子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JH10-90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拉线U型环</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UL-12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拉线延长环</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PH-10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M18×340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球头挂环</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Q-7</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556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409</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双头四帽螺栓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M16×350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16</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20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双头四帽螺栓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M18×340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368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252</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116</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双头四帽螺栓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M18×350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60</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20</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40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双头四帽螺栓</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M18×360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铜铝过渡设备线夹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SLG-4-A型</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30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铜线鼻</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DT-50mm2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345</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220</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125</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碗头挂板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W-7A</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556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409</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楔型线夹</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NX-2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211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161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直角挂板</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Z-7</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只</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556</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409</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复合悬式绝缘子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FXBW-10/70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348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201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147</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复合针式绝缘子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FPQ2-10/5T20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943</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427</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516</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悬式绝缘子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X-4.5</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528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针式绝缘子</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P-6</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支</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10kV横担</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∠75×8×1500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497</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257</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240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中相垫高几型支架</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-8×60×506</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277</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108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169</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低压横担</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∠75×8×1500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避雷器护罩</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黄、绿、红3只一组</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112</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72</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40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开关编号牌</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搪瓷24×20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开关绝缘护罩</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黄、绿、红3只一组</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组</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拉线棒</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φ18×1800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拉线警示保护管</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φ25×2000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根</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131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50</w:t>
            </w:r>
          </w:p>
        </w:tc>
      </w:tr>
      <w:tr>
        <w:tblPrEx>
          <w:shd w:val="clear" w:color="auto" w:fill="auto"/>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警示牌</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搪瓷30×22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358</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161</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197</w:t>
            </w:r>
          </w:p>
        </w:tc>
      </w:tr>
      <w:tr>
        <w:tblPrEx>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杆号牌</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搪瓷31×22</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块</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371</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178</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193</w:t>
            </w:r>
          </w:p>
        </w:tc>
      </w:tr>
      <w:tr>
        <w:tblPrEx>
          <w:tblCellMar>
            <w:top w:w="0" w:type="dxa"/>
            <w:left w:w="0" w:type="dxa"/>
            <w:bottom w:w="0" w:type="dxa"/>
            <w:right w:w="0" w:type="dxa"/>
          </w:tblCellMar>
        </w:tblPrEx>
        <w:trPr>
          <w:trHeight w:val="397" w:hRule="atLeast"/>
        </w:trPr>
        <w:tc>
          <w:tcPr>
            <w:tcW w:w="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02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自粘带</w:t>
            </w:r>
          </w:p>
        </w:tc>
        <w:tc>
          <w:tcPr>
            <w:tcW w:w="132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J20</w:t>
            </w:r>
          </w:p>
        </w:tc>
        <w:tc>
          <w:tcPr>
            <w:tcW w:w="49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盘</w:t>
            </w:r>
          </w:p>
        </w:tc>
        <w:tc>
          <w:tcPr>
            <w:tcW w:w="53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color w:val="333333"/>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160</w:t>
            </w:r>
          </w:p>
        </w:tc>
        <w:tc>
          <w:tcPr>
            <w:tcW w:w="120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青口</w:t>
            </w:r>
            <w:r>
              <w:rPr>
                <w:rFonts w:hint="eastAsia" w:ascii="宋体" w:hAnsi="宋体" w:eastAsia="宋体" w:cs="宋体"/>
                <w:i w:val="0"/>
                <w:iCs w:val="0"/>
                <w:color w:val="auto"/>
                <w:kern w:val="0"/>
                <w:sz w:val="21"/>
                <w:szCs w:val="21"/>
                <w:u w:val="none"/>
                <w:lang w:val="en-US" w:eastAsia="zh-CN" w:bidi="ar"/>
              </w:rPr>
              <w:t>105</w:t>
            </w:r>
            <w:r>
              <w:rPr>
                <w:rFonts w:hint="eastAsia" w:ascii="宋体" w:hAnsi="宋体" w:cs="宋体"/>
                <w:i w:val="0"/>
                <w:iCs w:val="0"/>
                <w:color w:val="000000"/>
                <w:kern w:val="0"/>
                <w:sz w:val="21"/>
                <w:szCs w:val="21"/>
                <w:u w:val="none"/>
                <w:lang w:val="en-US" w:eastAsia="zh-CN" w:bidi="ar"/>
              </w:rPr>
              <w:t>、灌西</w:t>
            </w:r>
            <w:r>
              <w:rPr>
                <w:rFonts w:hint="eastAsia" w:ascii="宋体" w:hAnsi="宋体" w:eastAsia="宋体" w:cs="宋体"/>
                <w:i w:val="0"/>
                <w:iCs w:val="0"/>
                <w:color w:val="000000"/>
                <w:kern w:val="0"/>
                <w:sz w:val="21"/>
                <w:szCs w:val="21"/>
                <w:u w:val="none"/>
                <w:lang w:val="en-US" w:eastAsia="zh-CN" w:bidi="ar"/>
              </w:rPr>
              <w:t>55</w:t>
            </w:r>
          </w:p>
        </w:tc>
      </w:tr>
    </w:tbl>
    <w:p>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及保险费用、增值税（13%）及其他相关税费等费用（如果国家政策有变动，依据国家最新政策变动）。</w:t>
      </w:r>
    </w:p>
    <w:p>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lang w:eastAsia="zh-CN"/>
        </w:rPr>
        <w:t>合同签订后</w:t>
      </w:r>
      <w:r>
        <w:rPr>
          <w:rFonts w:hint="eastAsia" w:ascii="宋体" w:hAnsi="宋体" w:cs="宋体"/>
          <w:sz w:val="24"/>
          <w:highlight w:val="yellow"/>
          <w:lang w:val="en-US" w:eastAsia="zh-CN"/>
        </w:rPr>
        <w:t>10</w:t>
      </w:r>
      <w:r>
        <w:rPr>
          <w:rFonts w:hint="eastAsia" w:ascii="宋体" w:hAnsi="宋体" w:cs="宋体"/>
          <w:sz w:val="24"/>
          <w:highlight w:val="yellow"/>
        </w:rPr>
        <w:t>日内供货</w:t>
      </w:r>
      <w:r>
        <w:rPr>
          <w:rFonts w:hint="eastAsia" w:ascii="宋体" w:hAnsi="宋体" w:cs="宋体"/>
          <w:sz w:val="24"/>
        </w:rPr>
        <w:t>完毕并经验收合格。</w:t>
      </w:r>
    </w:p>
    <w:p>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2023</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w:t>
      </w:r>
      <w:r>
        <w:rPr>
          <w:rFonts w:hint="eastAsia" w:ascii="宋体" w:hAnsi="宋体" w:cs="宋体"/>
          <w:sz w:val="24"/>
          <w:szCs w:val="24"/>
          <w:lang w:val="en-US" w:eastAsia="zh-CN"/>
        </w:rPr>
        <w:t>和社保</w:t>
      </w:r>
      <w:r>
        <w:rPr>
          <w:rFonts w:ascii="宋体" w:hAnsi="宋体" w:eastAsia="宋体" w:cs="宋体"/>
          <w:sz w:val="24"/>
          <w:szCs w:val="24"/>
        </w:rPr>
        <w:t>的良好记录</w:t>
      </w:r>
      <w:r>
        <w:rPr>
          <w:rFonts w:hint="eastAsia" w:ascii="宋体" w:hAnsi="宋体" w:cs="宋体"/>
          <w:sz w:val="24"/>
          <w:szCs w:val="24"/>
          <w:lang w:eastAsia="zh-CN"/>
        </w:rPr>
        <w:t>。</w:t>
      </w:r>
    </w:p>
    <w:p>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：470966.00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九</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lang w:val="en-US" w:eastAsia="zh-CN"/>
        </w:rPr>
        <w:t>2022年-2023年内三个月【税收所属日期】和三个月的社保</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w:t>
      </w:r>
      <w:r>
        <w:rPr>
          <w:rFonts w:hint="eastAsia" w:ascii="宋体" w:hAnsi="宋体" w:cs="宋体"/>
          <w:sz w:val="24"/>
          <w:lang w:eastAsia="zh-CN"/>
        </w:rPr>
        <w:t>卖方</w:t>
      </w:r>
      <w:r>
        <w:rPr>
          <w:rFonts w:hint="eastAsia" w:ascii="宋体" w:hAnsi="宋体" w:cs="宋体"/>
          <w:sz w:val="24"/>
        </w:rPr>
        <w:t>向</w:t>
      </w:r>
      <w:r>
        <w:rPr>
          <w:rFonts w:hint="eastAsia" w:ascii="宋体" w:hAnsi="宋体" w:cs="宋体"/>
          <w:sz w:val="24"/>
          <w:lang w:eastAsia="zh-CN"/>
        </w:rPr>
        <w:t>买方</w:t>
      </w:r>
      <w:r>
        <w:rPr>
          <w:rFonts w:hint="eastAsia" w:ascii="宋体" w:hAnsi="宋体" w:cs="宋体"/>
          <w:sz w:val="24"/>
        </w:rPr>
        <w:t>提供真实、有效、合法的增值税专用发票（税率13%），</w:t>
      </w:r>
      <w:r>
        <w:rPr>
          <w:rFonts w:hint="eastAsia" w:ascii="宋体" w:hAnsi="宋体" w:cs="宋体"/>
          <w:sz w:val="24"/>
          <w:lang w:eastAsia="zh-CN"/>
        </w:rPr>
        <w:t>卖方若</w:t>
      </w:r>
      <w:r>
        <w:rPr>
          <w:rFonts w:hint="eastAsia" w:ascii="宋体" w:hAnsi="宋体" w:cs="宋体"/>
          <w:sz w:val="24"/>
        </w:rPr>
        <w:t>出具银行开具合同总价20%的履约保函，</w:t>
      </w:r>
      <w:r>
        <w:rPr>
          <w:rFonts w:hint="eastAsia" w:ascii="宋体" w:hAnsi="宋体" w:cs="宋体"/>
          <w:sz w:val="24"/>
          <w:lang w:eastAsia="zh-CN"/>
        </w:rPr>
        <w:t>买方</w:t>
      </w:r>
      <w:r>
        <w:rPr>
          <w:rFonts w:hint="eastAsia" w:ascii="宋体" w:hAnsi="宋体" w:cs="宋体"/>
          <w:sz w:val="24"/>
        </w:rPr>
        <w:t>在收到保函7个工作日内向</w:t>
      </w:r>
      <w:r>
        <w:rPr>
          <w:rFonts w:hint="eastAsia" w:ascii="宋体" w:hAnsi="宋体" w:cs="宋体"/>
          <w:sz w:val="24"/>
          <w:lang w:eastAsia="zh-CN"/>
        </w:rPr>
        <w:t>卖方</w:t>
      </w:r>
      <w:r>
        <w:rPr>
          <w:rFonts w:hint="eastAsia" w:ascii="宋体" w:hAnsi="宋体" w:cs="宋体"/>
          <w:sz w:val="24"/>
        </w:rPr>
        <w:t>支付合同总价20％的预付款，</w:t>
      </w:r>
      <w:r>
        <w:rPr>
          <w:rFonts w:hint="eastAsia" w:ascii="宋体" w:hAnsi="宋体" w:cs="宋体"/>
          <w:sz w:val="24"/>
          <w:lang w:eastAsia="zh-CN"/>
        </w:rPr>
        <w:t>卖方</w:t>
      </w:r>
      <w:r>
        <w:rPr>
          <w:rFonts w:hint="eastAsia" w:ascii="宋体" w:hAnsi="宋体" w:cs="宋体"/>
          <w:sz w:val="24"/>
        </w:rPr>
        <w:t>可以根据送货到现场情况申请进度款，货物全部送达现场经验收合格后再付至合同总价款的90%，剩余10％款额待质保期（一年）满后壹个月内结清（无息）。</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960" w:firstLineChars="4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联系人：</w:t>
      </w:r>
      <w:r>
        <w:rPr>
          <w:rFonts w:hint="eastAsia" w:ascii="宋体" w:hAnsi="宋体" w:cs="宋体"/>
          <w:sz w:val="24"/>
          <w:lang w:val="en-US" w:eastAsia="zh-CN"/>
        </w:rPr>
        <w:t>青口：赵先生    电话：13951493559</w:t>
      </w:r>
    </w:p>
    <w:p>
      <w:pPr>
        <w:spacing w:line="360" w:lineRule="auto"/>
        <w:ind w:firstLine="960" w:firstLineChars="400"/>
        <w:jc w:val="left"/>
        <w:rPr>
          <w:rFonts w:hint="eastAsia" w:ascii="宋体" w:hAnsi="宋体" w:cs="宋体"/>
          <w:sz w:val="24"/>
          <w:lang w:val="en-US" w:eastAsia="zh-CN"/>
        </w:rPr>
      </w:pPr>
      <w:r>
        <w:rPr>
          <w:rFonts w:hint="eastAsia" w:ascii="宋体" w:hAnsi="宋体" w:cs="宋体"/>
          <w:sz w:val="24"/>
          <w:lang w:val="en-US" w:eastAsia="zh-CN"/>
        </w:rPr>
        <w:t xml:space="preserve">            灌西：孙先生    电话：13611555488</w:t>
      </w:r>
    </w:p>
    <w:p>
      <w:pPr>
        <w:spacing w:line="360" w:lineRule="auto"/>
        <w:ind w:firstLine="480" w:firstLineChars="200"/>
        <w:jc w:val="right"/>
        <w:rPr>
          <w:rFonts w:hint="eastAsia" w:ascii="宋体" w:hAnsi="宋体" w:cs="宋体"/>
          <w:sz w:val="24"/>
        </w:rPr>
      </w:pPr>
    </w:p>
    <w:p>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pPr>
        <w:spacing w:line="360" w:lineRule="auto"/>
        <w:ind w:right="560" w:firstLine="480" w:firstLineChars="200"/>
        <w:jc w:val="center"/>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依法缴纳税收的记录（2022年-2023年内三个月【税收所属日期】和三个月的社保）（加盖公章）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2734871"/>
      <w:bookmarkStart w:id="1" w:name="_Toc61871288"/>
      <w:bookmarkStart w:id="2" w:name="_Toc61871372"/>
      <w:bookmarkStart w:id="3" w:name="_Toc61877376"/>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8"/>
        <w:gridCol w:w="1073"/>
        <w:gridCol w:w="954"/>
        <w:gridCol w:w="1035"/>
        <w:gridCol w:w="821"/>
        <w:gridCol w:w="1175"/>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w:t>
      </w:r>
      <w:r>
        <w:rPr>
          <w:rFonts w:hint="eastAsia" w:ascii="宋体" w:hAnsi="宋体" w:cs="宋体"/>
          <w:b/>
          <w:bCs/>
          <w:sz w:val="36"/>
          <w:szCs w:val="36"/>
          <w:lang w:val="en-US" w:eastAsia="zh-CN"/>
        </w:rPr>
        <w:t>2</w:t>
      </w:r>
      <w:r>
        <w:rPr>
          <w:rFonts w:hint="eastAsia" w:ascii="宋体" w:hAnsi="宋体" w:cs="宋体"/>
          <w:b/>
          <w:bCs/>
          <w:sz w:val="36"/>
          <w:szCs w:val="36"/>
          <w:lang w:eastAsia="zh-CN"/>
        </w:rPr>
        <w:t>年</w:t>
      </w:r>
      <w:r>
        <w:rPr>
          <w:rFonts w:hint="eastAsia" w:ascii="宋体" w:hAnsi="宋体" w:cs="宋体"/>
          <w:b/>
          <w:bCs/>
          <w:sz w:val="36"/>
          <w:szCs w:val="36"/>
          <w:lang w:val="en-US" w:eastAsia="zh-CN"/>
        </w:rPr>
        <w:t>-2023年</w:t>
      </w:r>
      <w:r>
        <w:rPr>
          <w:rFonts w:hint="eastAsia" w:ascii="宋体" w:hAnsi="宋体" w:cs="宋体"/>
          <w:b/>
          <w:bCs/>
          <w:sz w:val="36"/>
          <w:szCs w:val="36"/>
          <w:lang w:eastAsia="zh-CN"/>
        </w:rPr>
        <w:t>内三个月【税收所属日期】和三个月的社保，加盖公章）</w:t>
      </w:r>
    </w:p>
    <w:p>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LWDMD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1588135</wp:posOffset>
                </wp:positionV>
                <wp:extent cx="1636395" cy="433070"/>
                <wp:effectExtent l="12700" t="12700" r="27305" b="304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25.05pt;height:34.1pt;width:128.85pt;z-index:251659264;v-text-anchor:middle;mso-width-relative:page;mso-height-relative:page;" filled="f" stroked="t" coordsize="21600,21600" o:gfxdata="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HTmmCtkAAAALAQAADwAAAAAAAAABACAAAAAiAAAAZHJzL2Rvd25yZXYueG1sUEsBAhQAFAAA&#10;AAgAh07iQLABVpiZAgAABAUAAA4AAAAAAAAAAQAgAAAAKAEAAGRycy9lMm9Eb2MueG1sUEsFBgAA&#10;AAAGAAYAWQEAADMGAAAAAA==&#10;">
                <v:fill on="f" focussize="0,0"/>
                <v:stroke weight="2pt" color="#254061 [1604]" joinstyle="round"/>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119120"/>
                    </a:xfrm>
                    <a:prstGeom prst="rect">
                      <a:avLst/>
                    </a:prstGeom>
                    <a:noFill/>
                    <a:ln>
                      <a:noFill/>
                    </a:ln>
                  </pic:spPr>
                </pic:pic>
              </a:graphicData>
            </a:graphic>
          </wp:inline>
        </w:drawing>
      </w:r>
    </w:p>
    <w:p>
      <w:pPr>
        <w:numPr>
          <w:ilvl w:val="0"/>
          <w:numId w:val="0"/>
        </w:numPr>
        <w:spacing w:line="360" w:lineRule="auto"/>
        <w:ind w:right="560" w:rightChars="0"/>
        <w:jc w:val="both"/>
      </w:pPr>
    </w:p>
    <w:p>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yYxi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1511935</wp:posOffset>
                </wp:positionV>
                <wp:extent cx="1186815" cy="519430"/>
                <wp:effectExtent l="12700" t="12700" r="19685" b="203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9.05pt;height:40.9pt;width:93.45pt;z-index:251660288;v-text-anchor:middle;mso-width-relative:page;mso-height-relative:page;" filled="f" stroked="t" coordsize="21600,21600" o:gfxdata="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Ox53PbAAAACwEAAA8A&#10;AAAAAAAAAQAgAAAAIgAAAGRycy9kb3ducmV2LnhtbFBLAQIUABQAAAAIAIdO4kAeehbshgIAAO0E&#10;AAAOAAAAAAAAAAEAIAAAACoBAABkcnMvZTJvRG9jLnhtbFBLBQYAAAAABgAGAFkBAAAiBgAAAAA=&#10;">
                <v:fill on="f" focussize="0,0"/>
                <v:stroke weight="2pt" color="#10243F [1615]" joinstyle="round"/>
                <v:imagedata o:title=""/>
                <o:lock v:ext="edit" aspectratio="f"/>
                <v:textbox>
                  <w:txbxContent>
                    <w:p>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959735"/>
                    </a:xfrm>
                    <a:prstGeom prst="rect">
                      <a:avLst/>
                    </a:prstGeom>
                  </pic:spPr>
                </pic:pic>
              </a:graphicData>
            </a:graphic>
          </wp:inline>
        </w:drawing>
      </w:r>
    </w:p>
    <w:p>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ind w:left="0" w:leftChars="0" w:firstLine="0" w:firstLineChars="0"/>
        <w:rPr>
          <w:rFonts w:hint="eastAsia" w:ascii="宋体" w:hAnsi="宋体" w:cs="宋体"/>
          <w:sz w:val="24"/>
        </w:rPr>
      </w:pPr>
    </w:p>
    <w:p>
      <w:pPr>
        <w:pStyle w:val="4"/>
        <w:jc w:val="both"/>
        <w:rPr>
          <w:rFonts w:asciiTheme="minorEastAsia" w:hAnsiTheme="minorEastAsia" w:eastAsiaTheme="minorEastAsia"/>
          <w:bCs w:val="0"/>
          <w:color w:val="000000" w:themeColor="text1"/>
          <w:sz w:val="36"/>
          <w:szCs w:val="24"/>
          <w14:textFill>
            <w14:solidFill>
              <w14:schemeClr w14:val="tx1"/>
            </w14:solidFill>
          </w14:textFill>
        </w:rPr>
      </w:pP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附件：</w:t>
      </w:r>
      <w:r>
        <w:rPr>
          <w:rFonts w:hint="eastAsia" w:asciiTheme="minorEastAsia" w:hAnsiTheme="minorEastAsia" w:eastAsiaTheme="minorEastAsia"/>
          <w:bCs w:val="0"/>
          <w:color w:val="000000" w:themeColor="text1"/>
          <w:sz w:val="36"/>
          <w:szCs w:val="24"/>
          <w14:textFill>
            <w14:solidFill>
              <w14:schemeClr w14:val="tx1"/>
            </w14:solidFill>
          </w14:textFill>
        </w:rPr>
        <w:t>合同条款格式</w:t>
      </w:r>
    </w:p>
    <w:p>
      <w:pPr>
        <w:spacing w:line="360" w:lineRule="auto"/>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产品买卖合同</w:t>
      </w:r>
    </w:p>
    <w:p>
      <w:pPr>
        <w:autoSpaceDE w:val="0"/>
        <w:autoSpaceDN w:val="0"/>
        <w:adjustRightInd w:val="0"/>
        <w:snapToGrid w:val="0"/>
        <w:spacing w:line="360" w:lineRule="auto"/>
        <w:ind w:right="-16"/>
        <w:jc w:val="left"/>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 xml:space="preserve">卖方（全称）：                                </w:t>
      </w:r>
    </w:p>
    <w:p>
      <w:pPr>
        <w:autoSpaceDE w:val="0"/>
        <w:autoSpaceDN w:val="0"/>
        <w:adjustRightInd w:val="0"/>
        <w:snapToGrid w:val="0"/>
        <w:spacing w:line="360" w:lineRule="auto"/>
        <w:ind w:right="-16"/>
        <w:jc w:val="left"/>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 xml:space="preserve">买方（全称）：连云港市工业投资集团有限公司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签订地点：连云港市</w:t>
      </w:r>
      <w:r>
        <w:rPr>
          <w:rFonts w:hint="eastAsia" w:cs="仿宋" w:asciiTheme="minorEastAsia" w:hAnsiTheme="minorEastAsia" w:eastAsiaTheme="minorEastAsia"/>
          <w:bCs/>
          <w:snapToGrid w:val="0"/>
          <w:kern w:val="0"/>
          <w:szCs w:val="21"/>
          <w:lang w:eastAsia="zh-CN"/>
        </w:rPr>
        <w:t>海州区</w:t>
      </w:r>
      <w:r>
        <w:rPr>
          <w:rFonts w:hint="eastAsia" w:cs="仿宋" w:asciiTheme="minorEastAsia" w:hAnsiTheme="minorEastAsia" w:eastAsiaTheme="minorEastAsia"/>
          <w:bCs/>
          <w:snapToGrid w:val="0"/>
          <w:kern w:val="0"/>
          <w:szCs w:val="21"/>
        </w:rPr>
        <w:t xml:space="preserve">                          </w:t>
      </w:r>
      <w:r>
        <w:rPr>
          <w:rFonts w:hint="eastAsia" w:cs="仿宋" w:asciiTheme="minorEastAsia" w:hAnsiTheme="minorEastAsia" w:eastAsiaTheme="minorEastAsia"/>
          <w:bCs/>
          <w:snapToGrid w:val="0"/>
          <w:kern w:val="0"/>
          <w:szCs w:val="21"/>
          <w:lang w:val="en-US" w:eastAsia="zh-CN"/>
        </w:rPr>
        <w:t xml:space="preserve"> </w:t>
      </w:r>
      <w:r>
        <w:rPr>
          <w:rFonts w:hint="eastAsia" w:cs="仿宋" w:asciiTheme="minorEastAsia" w:hAnsiTheme="minorEastAsia" w:eastAsiaTheme="minorEastAsia"/>
          <w:bCs/>
          <w:snapToGrid w:val="0"/>
          <w:kern w:val="0"/>
          <w:szCs w:val="21"/>
        </w:rPr>
        <w:t>签订时间：202</w:t>
      </w:r>
      <w:r>
        <w:rPr>
          <w:rFonts w:hint="eastAsia" w:cs="仿宋" w:asciiTheme="minorEastAsia" w:hAnsiTheme="minorEastAsia" w:eastAsiaTheme="minorEastAsia"/>
          <w:bCs/>
          <w:snapToGrid w:val="0"/>
          <w:kern w:val="0"/>
          <w:szCs w:val="21"/>
          <w:lang w:val="en-US" w:eastAsia="zh-CN"/>
        </w:rPr>
        <w:t>3</w:t>
      </w:r>
      <w:bookmarkStart w:id="5" w:name="_GoBack"/>
      <w:bookmarkEnd w:id="5"/>
      <w:r>
        <w:rPr>
          <w:rFonts w:hint="eastAsia" w:cs="仿宋" w:asciiTheme="minorEastAsia" w:hAnsiTheme="minorEastAsia" w:eastAsiaTheme="minorEastAsia"/>
          <w:bCs/>
          <w:snapToGrid w:val="0"/>
          <w:kern w:val="0"/>
          <w:szCs w:val="21"/>
        </w:rPr>
        <w:t>年    月   日</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 xml:space="preserve">工程名称：          </w:t>
      </w:r>
      <w:r>
        <w:rPr>
          <w:rFonts w:cs="仿宋" w:asciiTheme="minorEastAsia" w:hAnsiTheme="minorEastAsia" w:eastAsiaTheme="minorEastAsia"/>
          <w:bCs/>
          <w:snapToGrid w:val="0"/>
          <w:kern w:val="0"/>
          <w:szCs w:val="21"/>
        </w:rPr>
        <w:t xml:space="preserve">                           </w:t>
      </w:r>
      <w:r>
        <w:rPr>
          <w:rFonts w:hint="eastAsia" w:cs="仿宋" w:asciiTheme="minorEastAsia" w:hAnsiTheme="minorEastAsia" w:eastAsiaTheme="minorEastAsia"/>
          <w:bCs/>
          <w:snapToGrid w:val="0"/>
          <w:kern w:val="0"/>
          <w:szCs w:val="21"/>
          <w:lang w:val="en-US" w:eastAsia="zh-CN"/>
        </w:rPr>
        <w:t xml:space="preserve">  </w:t>
      </w:r>
      <w:r>
        <w:rPr>
          <w:rFonts w:cs="仿宋" w:asciiTheme="minorEastAsia" w:hAnsiTheme="minorEastAsia" w:eastAsiaTheme="minorEastAsia"/>
          <w:bCs/>
          <w:snapToGrid w:val="0"/>
          <w:kern w:val="0"/>
          <w:szCs w:val="21"/>
        </w:rPr>
        <w:t xml:space="preserve">  </w:t>
      </w:r>
      <w:r>
        <w:rPr>
          <w:rFonts w:hint="eastAsia" w:cs="仿宋" w:asciiTheme="minorEastAsia" w:hAnsiTheme="minorEastAsia" w:eastAsiaTheme="minorEastAsia"/>
          <w:bCs/>
          <w:snapToGrid w:val="0"/>
          <w:kern w:val="0"/>
          <w:szCs w:val="21"/>
          <w:lang w:val="en-US" w:eastAsia="zh-CN"/>
        </w:rPr>
        <w:t xml:space="preserve">  </w:t>
      </w:r>
      <w:r>
        <w:rPr>
          <w:rFonts w:hint="eastAsia" w:cs="仿宋" w:asciiTheme="minorEastAsia" w:hAnsiTheme="minorEastAsia" w:eastAsiaTheme="minorEastAsia"/>
          <w:bCs/>
          <w:snapToGrid w:val="0"/>
          <w:kern w:val="0"/>
          <w:szCs w:val="21"/>
        </w:rPr>
        <w:t>合同编号：</w:t>
      </w:r>
    </w:p>
    <w:p>
      <w:pPr>
        <w:ind w:firstLine="420" w:firstLineChars="200"/>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第一条</w:t>
      </w:r>
      <w:r>
        <w:rPr>
          <w:rFonts w:hint="eastAsia" w:ascii="仿宋_GB2312" w:hAnsi="仿宋_GB2312" w:eastAsia="仿宋_GB2312" w:cs="仿宋_GB2312"/>
          <w:sz w:val="24"/>
        </w:rPr>
        <w:t>　</w:t>
      </w:r>
      <w:r>
        <w:rPr>
          <w:rFonts w:hint="eastAsia" w:cs="仿宋" w:asciiTheme="minorEastAsia" w:hAnsiTheme="minorEastAsia" w:eastAsiaTheme="minorEastAsia"/>
          <w:bCs/>
          <w:snapToGrid w:val="0"/>
          <w:kern w:val="0"/>
          <w:szCs w:val="21"/>
        </w:rPr>
        <w:t>产品名称、品牌商标、规格型号、数量、金额</w:t>
      </w:r>
    </w:p>
    <w:tbl>
      <w:tblPr>
        <w:tblStyle w:val="7"/>
        <w:tblW w:w="8835"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93"/>
        <w:gridCol w:w="892"/>
        <w:gridCol w:w="900"/>
        <w:gridCol w:w="129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440"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产品名称</w:t>
            </w:r>
          </w:p>
        </w:tc>
        <w:tc>
          <w:tcPr>
            <w:tcW w:w="1793"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型号规格</w:t>
            </w:r>
          </w:p>
        </w:tc>
        <w:tc>
          <w:tcPr>
            <w:tcW w:w="892"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数量</w:t>
            </w:r>
          </w:p>
        </w:tc>
        <w:tc>
          <w:tcPr>
            <w:tcW w:w="900"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单位</w:t>
            </w:r>
          </w:p>
        </w:tc>
        <w:tc>
          <w:tcPr>
            <w:tcW w:w="1290"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单价（元）</w:t>
            </w:r>
          </w:p>
        </w:tc>
        <w:tc>
          <w:tcPr>
            <w:tcW w:w="1260"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总价（元）</w:t>
            </w:r>
          </w:p>
        </w:tc>
        <w:tc>
          <w:tcPr>
            <w:tcW w:w="1260" w:type="dxa"/>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440" w:type="dxa"/>
            <w:vAlign w:val="center"/>
          </w:tcPr>
          <w:p>
            <w:pPr>
              <w:widowControl/>
              <w:jc w:val="center"/>
              <w:textAlignment w:val="center"/>
              <w:rPr>
                <w:rFonts w:cs="仿宋" w:asciiTheme="minorEastAsia" w:hAnsiTheme="minorEastAsia" w:eastAsiaTheme="minorEastAsia"/>
                <w:bCs/>
                <w:snapToGrid w:val="0"/>
                <w:kern w:val="0"/>
                <w:szCs w:val="21"/>
              </w:rPr>
            </w:pPr>
          </w:p>
        </w:tc>
        <w:tc>
          <w:tcPr>
            <w:tcW w:w="1793" w:type="dxa"/>
            <w:vAlign w:val="center"/>
          </w:tcPr>
          <w:p>
            <w:pPr>
              <w:widowControl/>
              <w:textAlignment w:val="center"/>
              <w:rPr>
                <w:rFonts w:cs="仿宋" w:asciiTheme="minorEastAsia" w:hAnsiTheme="minorEastAsia" w:eastAsiaTheme="minorEastAsia"/>
                <w:bCs/>
                <w:snapToGrid w:val="0"/>
                <w:kern w:val="0"/>
                <w:szCs w:val="21"/>
              </w:rPr>
            </w:pPr>
          </w:p>
        </w:tc>
        <w:tc>
          <w:tcPr>
            <w:tcW w:w="892" w:type="dxa"/>
            <w:vAlign w:val="center"/>
          </w:tcPr>
          <w:p>
            <w:pPr>
              <w:widowControl/>
              <w:jc w:val="center"/>
              <w:textAlignment w:val="center"/>
              <w:rPr>
                <w:rFonts w:cs="仿宋" w:asciiTheme="minorEastAsia" w:hAnsiTheme="minorEastAsia" w:eastAsiaTheme="minorEastAsia"/>
                <w:bCs/>
                <w:snapToGrid w:val="0"/>
                <w:kern w:val="0"/>
                <w:szCs w:val="21"/>
              </w:rPr>
            </w:pPr>
          </w:p>
        </w:tc>
        <w:tc>
          <w:tcPr>
            <w:tcW w:w="900" w:type="dxa"/>
            <w:vAlign w:val="center"/>
          </w:tcPr>
          <w:p>
            <w:pPr>
              <w:widowControl/>
              <w:jc w:val="center"/>
              <w:textAlignment w:val="center"/>
              <w:rPr>
                <w:rFonts w:cs="仿宋" w:asciiTheme="minorEastAsia" w:hAnsiTheme="minorEastAsia" w:eastAsiaTheme="minorEastAsia"/>
                <w:bCs/>
                <w:snapToGrid w:val="0"/>
                <w:kern w:val="0"/>
                <w:szCs w:val="21"/>
              </w:rPr>
            </w:pPr>
          </w:p>
        </w:tc>
        <w:tc>
          <w:tcPr>
            <w:tcW w:w="1290" w:type="dxa"/>
            <w:vAlign w:val="center"/>
          </w:tcPr>
          <w:p>
            <w:pPr>
              <w:jc w:val="center"/>
              <w:rPr>
                <w:rFonts w:cs="仿宋" w:asciiTheme="minorEastAsia" w:hAnsiTheme="minorEastAsia" w:eastAsiaTheme="minorEastAsia"/>
                <w:bCs/>
                <w:snapToGrid w:val="0"/>
                <w:kern w:val="0"/>
                <w:szCs w:val="21"/>
              </w:rPr>
            </w:pPr>
          </w:p>
        </w:tc>
        <w:tc>
          <w:tcPr>
            <w:tcW w:w="1260" w:type="dxa"/>
            <w:vAlign w:val="center"/>
          </w:tcPr>
          <w:p>
            <w:pPr>
              <w:jc w:val="center"/>
              <w:rPr>
                <w:rFonts w:cs="仿宋" w:asciiTheme="minorEastAsia" w:hAnsiTheme="minorEastAsia" w:eastAsiaTheme="minorEastAsia"/>
                <w:bCs/>
                <w:snapToGrid w:val="0"/>
                <w:kern w:val="0"/>
                <w:szCs w:val="21"/>
              </w:rPr>
            </w:pPr>
          </w:p>
        </w:tc>
        <w:tc>
          <w:tcPr>
            <w:tcW w:w="1260" w:type="dxa"/>
            <w:vAlign w:val="center"/>
          </w:tcPr>
          <w:p>
            <w:pPr>
              <w:jc w:val="left"/>
              <w:rPr>
                <w:rFonts w:cs="仿宋" w:asciiTheme="minorEastAsia" w:hAnsiTheme="minorEastAsia" w:eastAsiaTheme="minorEastAsia"/>
                <w:bCs/>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315" w:type="dxa"/>
            <w:gridSpan w:val="5"/>
            <w:vAlign w:val="center"/>
          </w:tcPr>
          <w:p>
            <w:pPr>
              <w:jc w:val="center"/>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合计</w:t>
            </w:r>
          </w:p>
        </w:tc>
        <w:tc>
          <w:tcPr>
            <w:tcW w:w="1260" w:type="dxa"/>
            <w:vAlign w:val="center"/>
          </w:tcPr>
          <w:p>
            <w:pPr>
              <w:jc w:val="center"/>
              <w:rPr>
                <w:rFonts w:cs="仿宋" w:asciiTheme="minorEastAsia" w:hAnsiTheme="minorEastAsia" w:eastAsiaTheme="minorEastAsia"/>
                <w:bCs/>
                <w:snapToGrid w:val="0"/>
                <w:kern w:val="0"/>
                <w:szCs w:val="21"/>
              </w:rPr>
            </w:pPr>
          </w:p>
        </w:tc>
        <w:tc>
          <w:tcPr>
            <w:tcW w:w="1260" w:type="dxa"/>
            <w:vAlign w:val="center"/>
          </w:tcPr>
          <w:p>
            <w:pPr>
              <w:jc w:val="center"/>
              <w:rPr>
                <w:rFonts w:cs="仿宋" w:asciiTheme="minorEastAsia" w:hAnsiTheme="minorEastAsia" w:eastAsiaTheme="minorEastAsia"/>
                <w:bCs/>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835" w:type="dxa"/>
            <w:gridSpan w:val="7"/>
            <w:vAlign w:val="center"/>
          </w:tcPr>
          <w:p>
            <w:pPr>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大写：（人民币）</w:t>
            </w:r>
          </w:p>
        </w:tc>
      </w:tr>
    </w:tbl>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此合同为固定单价合同，按实际安装供货数量进行调整，结算以现场实际测量数量依据，按中标的单价不变。</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合同总价包括合同货物、随机必备品、随机配件、随机工具、包装费、技术资料（含软件资料）和技术配合指导培训、技术服务和培训费、运输及保险费用、增值税（13%）及其他相关税费等费用（如果国家政策有变动，依据国家最新政策变动）。</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第二条　质量要求、卖方对质量负责的条件：根据国家关于标的物质量的最新标准和招标文件作为负责条件，期限1年。如国家法律法规对标的物的保质期限有明确规定的，从其规定，标的物质量负责期限为1年的条款不再适用。</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第三条　产品交付期限：双方以书面、数据电文等形式有约定的，依据约定；没有约定的，合同签订后20天内。</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 xml:space="preserve">第四条　运输方式及到达站（港）和费用负责：汽运，运费及货物运输风险由卖方承担。 </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第五条　合理损耗标准及计算方法：无。</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第六条　包装标准、包装物的供应与回收：货物的包装符合国家或行业标准，没有国家或行业标准的，应符合货物运输和保存的一般标准；包装物需要回收的，卖方自行回收。</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第七条　随机的必备品、配件：卖方必须提供设备说明书、安装、维护和操作文件、产品合格证、型式试验报告、3C报告、出厂检测报告及附件齐全。</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第八条　货物验收</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卖方保证其供应的产品质量符合国家行业标准和双方约定的标准，货物是全新的。</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 xml:space="preserve">第九条  结算方式、时间：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     </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第十条　标的物所有权自交货验收合格时起转移，但买方未履行支付价款义务的，标的物属于卖方所有。</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第十一条  质量保证</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11.1、如在保证期内发现货物存在影响正常使用的严重缺陷，则保证期将自该缺陷消除之日起开始计算。</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11.2、如买方要求更换有缺陷的货物，新更换货物的保证期应重新计算。</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11.3、保证期的届满不能视为卖方对货物中存在的潜在缺陷所负责任的解除，潜在缺陷指货物的隐患在正常情况下不能在保证期内被发现，卖方对纠正潜在缺陷应负责任。</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11.4、对货物修理部位的质量保证期应延长2年。</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11.5、在质量保证期过后，如买方需要，卖方应以最优惠的价格向买方提供维修合同货物必要的部件。</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第十二条  违约责任</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12.1、卖方逾期交货，除不可抗力的因素外，卖方应向买方支付延期交货违约金，按每日合同金额的2%支付违约金，但违约金总数不超过合同金额的30%，逾期超过10天，买方有权解除合同.如果买方因货物逾期交货而造成的实际损失大于卖方支付的违约金时，卖方支付的违约金调整为因货物逾期给买方造成的实际损失金额。</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12.4、由于货物延期交付、货物质量问题、延期付款等原因，卖方或买方接到对方的索赔通知书，如有异议在7天内提出，否则索赔既告成立。</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第十三条  由于买方的原因造成的货物损坏，卖方有义务尽快提供所需更换的部位，如果买方要求的是紧急部件，卖方应安排最快的方式运输。</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第十四条  合同的解除</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14.2、当供需双方任何一方破产或已失去履约能力时，另一方可在2个月内以书面方式通知对方解除合同。但该行为并不损害或影响双方已采取或将采取补救措施的任何权利。</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14.3、如因不可抗力使交货时间影响了工程进度，买方有权在1个月内解除合同，已付给卖方的费用卖方应在合同解除后5个工作日内无条件退回买方。</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第十五条  合同争议的解决方式：本合同在履行过程中发生的争议，可向合同签订地人民法院提起诉讼,诉讼费用（包括但不限于诉讼费、律师费、鉴定费、差旅费）由败诉方承担。</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第十六条  本合同一式6份，双方各执3份，由供需双方法定代表人或授权代理人签字、盖章后生效，每份具有同等法律效力。</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第十七条  其它约定事项:</w:t>
      </w:r>
    </w:p>
    <w:p>
      <w:pPr>
        <w:ind w:firstLine="465"/>
        <w:jc w:val="left"/>
        <w:rPr>
          <w:rFonts w:hint="eastAsia"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17.1、本合同未约定的事项，由双方另行签订补充协议，补充协议与本合同书具有同等法律效力。</w:t>
      </w:r>
    </w:p>
    <w:p>
      <w:pPr>
        <w:ind w:firstLine="465"/>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17.2、卖方应具有合法经营的资格，买方要求时要提供其合法经营的证明文件，证明文件与本合同具有同等法律效力。因卖方不具有合法经营资格给买方造成的损失，由卖方负责。</w:t>
      </w:r>
    </w:p>
    <w:tbl>
      <w:tblPr>
        <w:tblStyle w:val="7"/>
        <w:tblpPr w:leftFromText="180" w:rightFromText="180" w:vertAnchor="text" w:horzAnchor="page" w:tblpX="1570" w:tblpY="1303"/>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trPr>
        <w:tc>
          <w:tcPr>
            <w:tcW w:w="4470" w:type="dxa"/>
          </w:tcPr>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
                <w:bCs/>
                <w:snapToGrid w:val="0"/>
                <w:kern w:val="0"/>
                <w:szCs w:val="21"/>
              </w:rPr>
              <w:t>卖    方</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单位名称：</w:t>
            </w:r>
            <w:r>
              <w:rPr>
                <w:rFonts w:cs="仿宋" w:asciiTheme="minorEastAsia" w:hAnsiTheme="minorEastAsia" w:eastAsiaTheme="minorEastAsia"/>
                <w:bCs/>
                <w:snapToGrid w:val="0"/>
                <w:kern w:val="0"/>
                <w:szCs w:val="21"/>
              </w:rPr>
              <w:t xml:space="preserve">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单位地址：</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法定代表人：</w:t>
            </w:r>
            <w:r>
              <w:rPr>
                <w:rFonts w:cs="仿宋" w:asciiTheme="minorEastAsia" w:hAnsiTheme="minorEastAsia" w:eastAsiaTheme="minorEastAsia"/>
                <w:bCs/>
                <w:snapToGrid w:val="0"/>
                <w:kern w:val="0"/>
                <w:szCs w:val="21"/>
              </w:rPr>
              <w:t xml:space="preserve">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授权代理人：</w:t>
            </w:r>
            <w:r>
              <w:rPr>
                <w:rFonts w:cs="仿宋" w:asciiTheme="minorEastAsia" w:hAnsiTheme="minorEastAsia" w:eastAsiaTheme="minorEastAsia"/>
                <w:bCs/>
                <w:snapToGrid w:val="0"/>
                <w:kern w:val="0"/>
                <w:szCs w:val="21"/>
              </w:rPr>
              <w:t xml:space="preserve">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电话：</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传真：</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开户银行：</w:t>
            </w:r>
            <w:r>
              <w:rPr>
                <w:rFonts w:cs="仿宋" w:asciiTheme="minorEastAsia" w:hAnsiTheme="minorEastAsia" w:eastAsiaTheme="minorEastAsia"/>
                <w:bCs/>
                <w:snapToGrid w:val="0"/>
                <w:kern w:val="0"/>
                <w:szCs w:val="21"/>
              </w:rPr>
              <w:t xml:space="preserve">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账号：</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税号：</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邮政编号：</w:t>
            </w:r>
          </w:p>
        </w:tc>
        <w:tc>
          <w:tcPr>
            <w:tcW w:w="4455" w:type="dxa"/>
          </w:tcPr>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
                <w:bCs/>
                <w:snapToGrid w:val="0"/>
                <w:kern w:val="0"/>
                <w:szCs w:val="21"/>
              </w:rPr>
              <w:t>买   方</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单位名称：连云港市工业投资集团有限公司</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 xml:space="preserve">单位地址：连云港市高新区花果山大道109号 </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法定代表人：</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授权代理人：</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电话：</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传真：</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开户银行：连云港市工行营业部</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账号：1107010009000020344</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税号：913207007040440951</w:t>
            </w:r>
          </w:p>
          <w:p>
            <w:pPr>
              <w:autoSpaceDE w:val="0"/>
              <w:autoSpaceDN w:val="0"/>
              <w:adjustRightInd w:val="0"/>
              <w:snapToGrid w:val="0"/>
              <w:spacing w:line="276" w:lineRule="auto"/>
              <w:ind w:right="-16"/>
              <w:jc w:val="left"/>
              <w:rPr>
                <w:rFonts w:cs="仿宋" w:asciiTheme="minorEastAsia" w:hAnsiTheme="minorEastAsia" w:eastAsiaTheme="minorEastAsia"/>
                <w:bCs/>
                <w:snapToGrid w:val="0"/>
                <w:kern w:val="0"/>
                <w:szCs w:val="21"/>
              </w:rPr>
            </w:pPr>
            <w:r>
              <w:rPr>
                <w:rFonts w:hint="eastAsia" w:cs="仿宋" w:asciiTheme="minorEastAsia" w:hAnsiTheme="minorEastAsia" w:eastAsiaTheme="minorEastAsia"/>
                <w:bCs/>
                <w:snapToGrid w:val="0"/>
                <w:kern w:val="0"/>
                <w:szCs w:val="21"/>
              </w:rPr>
              <w:t>邮政编号：222002</w:t>
            </w:r>
          </w:p>
        </w:tc>
      </w:tr>
    </w:tbl>
    <w:p>
      <w:pPr>
        <w:pStyle w:val="2"/>
        <w:tabs>
          <w:tab w:val="left" w:pos="806"/>
          <w:tab w:val="clear" w:pos="765"/>
        </w:tabs>
        <w:spacing w:after="0"/>
        <w:ind w:left="0" w:leftChars="0" w:firstLine="0" w:firstLineChars="0"/>
        <w:rPr>
          <w:rFonts w:hint="eastAsia" w:ascii="宋体" w:hAnsi="宋体" w:eastAsia="宋体" w:cs="宋体"/>
          <w:sz w:val="24"/>
          <w:lang w:eastAsia="zh-CN"/>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A1658"/>
    <w:rsid w:val="008047AF"/>
    <w:rsid w:val="00B0645E"/>
    <w:rsid w:val="00CD43A5"/>
    <w:rsid w:val="00D03040"/>
    <w:rsid w:val="00E17D4F"/>
    <w:rsid w:val="00EE0001"/>
    <w:rsid w:val="00F54931"/>
    <w:rsid w:val="00F97337"/>
    <w:rsid w:val="00FE00ED"/>
    <w:rsid w:val="017B7BCF"/>
    <w:rsid w:val="02403328"/>
    <w:rsid w:val="02654CB1"/>
    <w:rsid w:val="028916DF"/>
    <w:rsid w:val="02AA0BB1"/>
    <w:rsid w:val="04964401"/>
    <w:rsid w:val="04B241CB"/>
    <w:rsid w:val="04B52C5F"/>
    <w:rsid w:val="05495782"/>
    <w:rsid w:val="05500BDA"/>
    <w:rsid w:val="05706FE5"/>
    <w:rsid w:val="06B37672"/>
    <w:rsid w:val="06F757B1"/>
    <w:rsid w:val="07732311"/>
    <w:rsid w:val="07CD206E"/>
    <w:rsid w:val="0808754A"/>
    <w:rsid w:val="080A06A7"/>
    <w:rsid w:val="08A96810"/>
    <w:rsid w:val="095142B9"/>
    <w:rsid w:val="09D27E0F"/>
    <w:rsid w:val="0A3638C9"/>
    <w:rsid w:val="0BF10BA6"/>
    <w:rsid w:val="0C520AA1"/>
    <w:rsid w:val="0D785E51"/>
    <w:rsid w:val="0E6A08A6"/>
    <w:rsid w:val="0E993CB5"/>
    <w:rsid w:val="0F535B46"/>
    <w:rsid w:val="0F5436F7"/>
    <w:rsid w:val="0FB232A2"/>
    <w:rsid w:val="103528C7"/>
    <w:rsid w:val="10685553"/>
    <w:rsid w:val="107D77B2"/>
    <w:rsid w:val="1130123A"/>
    <w:rsid w:val="11990505"/>
    <w:rsid w:val="11D719B9"/>
    <w:rsid w:val="121A05A5"/>
    <w:rsid w:val="12377C75"/>
    <w:rsid w:val="12960FB7"/>
    <w:rsid w:val="130E0363"/>
    <w:rsid w:val="13401E6A"/>
    <w:rsid w:val="137A57A0"/>
    <w:rsid w:val="137F5319"/>
    <w:rsid w:val="13E511E6"/>
    <w:rsid w:val="14057B62"/>
    <w:rsid w:val="156863F4"/>
    <w:rsid w:val="157838C2"/>
    <w:rsid w:val="15C529EA"/>
    <w:rsid w:val="16BD7DED"/>
    <w:rsid w:val="178640CA"/>
    <w:rsid w:val="17B339D8"/>
    <w:rsid w:val="17C9440E"/>
    <w:rsid w:val="18300DE7"/>
    <w:rsid w:val="18DF3CE9"/>
    <w:rsid w:val="19856C4C"/>
    <w:rsid w:val="19CC7BF7"/>
    <w:rsid w:val="1A0863A5"/>
    <w:rsid w:val="1B523C11"/>
    <w:rsid w:val="1C5D5B32"/>
    <w:rsid w:val="1D4B1478"/>
    <w:rsid w:val="1DAF24EA"/>
    <w:rsid w:val="1DBB1976"/>
    <w:rsid w:val="1DF56DD3"/>
    <w:rsid w:val="1E0A6D43"/>
    <w:rsid w:val="1E127068"/>
    <w:rsid w:val="1EE75CB3"/>
    <w:rsid w:val="1F1979A7"/>
    <w:rsid w:val="1F572E39"/>
    <w:rsid w:val="1F8A6A8E"/>
    <w:rsid w:val="209C2412"/>
    <w:rsid w:val="21374DE7"/>
    <w:rsid w:val="2199699D"/>
    <w:rsid w:val="225B679C"/>
    <w:rsid w:val="22877591"/>
    <w:rsid w:val="22E0346A"/>
    <w:rsid w:val="25653BB7"/>
    <w:rsid w:val="25710060"/>
    <w:rsid w:val="258D6F73"/>
    <w:rsid w:val="261E1082"/>
    <w:rsid w:val="26F86CAF"/>
    <w:rsid w:val="27743463"/>
    <w:rsid w:val="28B317DA"/>
    <w:rsid w:val="28BE7A85"/>
    <w:rsid w:val="28CD567C"/>
    <w:rsid w:val="296D68A7"/>
    <w:rsid w:val="29767018"/>
    <w:rsid w:val="29B669AE"/>
    <w:rsid w:val="29F11758"/>
    <w:rsid w:val="2A094D30"/>
    <w:rsid w:val="2A19588C"/>
    <w:rsid w:val="2A524929"/>
    <w:rsid w:val="2C582C57"/>
    <w:rsid w:val="2C751A6A"/>
    <w:rsid w:val="2CB247E9"/>
    <w:rsid w:val="2D670841"/>
    <w:rsid w:val="2F8D465F"/>
    <w:rsid w:val="30596821"/>
    <w:rsid w:val="31180264"/>
    <w:rsid w:val="3135053D"/>
    <w:rsid w:val="321A3C3D"/>
    <w:rsid w:val="331128CC"/>
    <w:rsid w:val="33AB2DFB"/>
    <w:rsid w:val="34EB4A02"/>
    <w:rsid w:val="34F07218"/>
    <w:rsid w:val="376322BC"/>
    <w:rsid w:val="384635F3"/>
    <w:rsid w:val="39993E40"/>
    <w:rsid w:val="3A5032E7"/>
    <w:rsid w:val="3A6A792B"/>
    <w:rsid w:val="3AA21814"/>
    <w:rsid w:val="3AAB5061"/>
    <w:rsid w:val="3B491B00"/>
    <w:rsid w:val="3B5D4A7E"/>
    <w:rsid w:val="3BC75965"/>
    <w:rsid w:val="3C260463"/>
    <w:rsid w:val="3CC7402F"/>
    <w:rsid w:val="3CFC70CA"/>
    <w:rsid w:val="3D9C18AA"/>
    <w:rsid w:val="3E9A2461"/>
    <w:rsid w:val="3ECA0ADA"/>
    <w:rsid w:val="3ED86DD5"/>
    <w:rsid w:val="3EDC73DD"/>
    <w:rsid w:val="400144C3"/>
    <w:rsid w:val="40036A20"/>
    <w:rsid w:val="40210AB0"/>
    <w:rsid w:val="409A272E"/>
    <w:rsid w:val="41BD2505"/>
    <w:rsid w:val="42140EA8"/>
    <w:rsid w:val="423A7D24"/>
    <w:rsid w:val="42734EFD"/>
    <w:rsid w:val="42D052AE"/>
    <w:rsid w:val="4359486F"/>
    <w:rsid w:val="435C6356"/>
    <w:rsid w:val="446C4029"/>
    <w:rsid w:val="44A43B7B"/>
    <w:rsid w:val="451F3F2C"/>
    <w:rsid w:val="453254A3"/>
    <w:rsid w:val="454D75BE"/>
    <w:rsid w:val="45AE2934"/>
    <w:rsid w:val="461D3BE5"/>
    <w:rsid w:val="46D633A5"/>
    <w:rsid w:val="477214B2"/>
    <w:rsid w:val="482512D8"/>
    <w:rsid w:val="488134C6"/>
    <w:rsid w:val="48962471"/>
    <w:rsid w:val="49C23727"/>
    <w:rsid w:val="49E862B8"/>
    <w:rsid w:val="49EE10E3"/>
    <w:rsid w:val="4A242B72"/>
    <w:rsid w:val="4A445444"/>
    <w:rsid w:val="4B17289A"/>
    <w:rsid w:val="4B2844F3"/>
    <w:rsid w:val="4B2B4CF5"/>
    <w:rsid w:val="4B472BC2"/>
    <w:rsid w:val="4C653BF0"/>
    <w:rsid w:val="4CAC3593"/>
    <w:rsid w:val="4D58684A"/>
    <w:rsid w:val="4DA5179B"/>
    <w:rsid w:val="4DD16AAC"/>
    <w:rsid w:val="4FB33A43"/>
    <w:rsid w:val="50C34CE5"/>
    <w:rsid w:val="50DC5CB3"/>
    <w:rsid w:val="51261967"/>
    <w:rsid w:val="51D72A7B"/>
    <w:rsid w:val="51E34706"/>
    <w:rsid w:val="52C364DC"/>
    <w:rsid w:val="52CD1D0D"/>
    <w:rsid w:val="535541BB"/>
    <w:rsid w:val="53E56A1C"/>
    <w:rsid w:val="53F21D0E"/>
    <w:rsid w:val="544678EB"/>
    <w:rsid w:val="54F76591"/>
    <w:rsid w:val="55050666"/>
    <w:rsid w:val="551A75C7"/>
    <w:rsid w:val="55BC72BE"/>
    <w:rsid w:val="567F58DD"/>
    <w:rsid w:val="568E3C42"/>
    <w:rsid w:val="56FA387B"/>
    <w:rsid w:val="599E1B42"/>
    <w:rsid w:val="599E4D73"/>
    <w:rsid w:val="5A4F7C8D"/>
    <w:rsid w:val="5A7259C5"/>
    <w:rsid w:val="5B0416A8"/>
    <w:rsid w:val="5B215ACE"/>
    <w:rsid w:val="5C5F030B"/>
    <w:rsid w:val="5D4F3D43"/>
    <w:rsid w:val="5F712CC8"/>
    <w:rsid w:val="5F8E09FE"/>
    <w:rsid w:val="5FF80052"/>
    <w:rsid w:val="60107EBF"/>
    <w:rsid w:val="60171399"/>
    <w:rsid w:val="60AC0C42"/>
    <w:rsid w:val="61651638"/>
    <w:rsid w:val="61A20F78"/>
    <w:rsid w:val="62277FB2"/>
    <w:rsid w:val="625F19EC"/>
    <w:rsid w:val="62CF4061"/>
    <w:rsid w:val="62E0210B"/>
    <w:rsid w:val="63917746"/>
    <w:rsid w:val="63BC45E5"/>
    <w:rsid w:val="64F824D7"/>
    <w:rsid w:val="652C07E4"/>
    <w:rsid w:val="65442AE4"/>
    <w:rsid w:val="657E7DB4"/>
    <w:rsid w:val="66A6332B"/>
    <w:rsid w:val="67181FDA"/>
    <w:rsid w:val="6817628E"/>
    <w:rsid w:val="68442DFB"/>
    <w:rsid w:val="698C4A5A"/>
    <w:rsid w:val="69E61117"/>
    <w:rsid w:val="6AD432EA"/>
    <w:rsid w:val="6B0549F6"/>
    <w:rsid w:val="6C89702F"/>
    <w:rsid w:val="6CA80668"/>
    <w:rsid w:val="6D171304"/>
    <w:rsid w:val="6D5E354D"/>
    <w:rsid w:val="6E123E67"/>
    <w:rsid w:val="6FD05675"/>
    <w:rsid w:val="7072115E"/>
    <w:rsid w:val="708D0D4A"/>
    <w:rsid w:val="70C40C1C"/>
    <w:rsid w:val="71487932"/>
    <w:rsid w:val="71FD4A4D"/>
    <w:rsid w:val="725256DA"/>
    <w:rsid w:val="727B566C"/>
    <w:rsid w:val="73171838"/>
    <w:rsid w:val="75224837"/>
    <w:rsid w:val="753B2405"/>
    <w:rsid w:val="76074DF1"/>
    <w:rsid w:val="76135B49"/>
    <w:rsid w:val="775018D4"/>
    <w:rsid w:val="78FF0DA4"/>
    <w:rsid w:val="791F39B7"/>
    <w:rsid w:val="7AC57DCC"/>
    <w:rsid w:val="7AE5230C"/>
    <w:rsid w:val="7B1B6C2F"/>
    <w:rsid w:val="7B21451B"/>
    <w:rsid w:val="7BBC0535"/>
    <w:rsid w:val="7C240B22"/>
    <w:rsid w:val="7CAF14B1"/>
    <w:rsid w:val="7CB61BD5"/>
    <w:rsid w:val="7CCE6599"/>
    <w:rsid w:val="7E8824D2"/>
    <w:rsid w:val="7F827B61"/>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4"/>
    <w:basedOn w:val="1"/>
    <w:next w:val="1"/>
    <w:unhideWhenUsed/>
    <w:qFormat/>
    <w:locked/>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default" w:ascii="Tahoma" w:hAnsi="Tahoma" w:eastAsia="Tahoma" w:cs="Tahoma"/>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6358</Words>
  <Characters>7303</Characters>
  <Lines>0</Lines>
  <Paragraphs>0</Paragraphs>
  <TotalTime>3</TotalTime>
  <ScaleCrop>false</ScaleCrop>
  <LinksUpToDate>false</LinksUpToDate>
  <CharactersWithSpaces>7967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2023-04-17T06:37:00Z</cp:lastPrinted>
  <dcterms:modified xsi:type="dcterms:W3CDTF">2023-04-23T07:45:02Z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64A5E1E7AFE147A985082E4EF35B740E</vt:lpwstr>
  </property>
</Properties>
</file>