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outlineLvl w:val="0"/>
        <w:rPr>
          <w:rFonts w:hint="default" w:hAnsi="宋体" w:eastAsia="宋体"/>
          <w:b/>
          <w:color w:val="auto"/>
          <w:sz w:val="36"/>
          <w:highlight w:val="none"/>
          <w:lang w:val="en-US" w:eastAsia="zh-CN"/>
        </w:rPr>
      </w:pPr>
      <w:r>
        <w:rPr>
          <w:rFonts w:hint="eastAsia" w:hAnsi="宋体"/>
          <w:b/>
          <w:color w:val="auto"/>
          <w:sz w:val="36"/>
          <w:highlight w:val="none"/>
          <w:lang w:val="en-US" w:eastAsia="zh-CN"/>
        </w:rPr>
        <w:t>投标邀请书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中建鼎正项目管理有限公司</w:t>
      </w:r>
      <w:r>
        <w:rPr>
          <w:rFonts w:hint="eastAsia" w:ascii="宋体" w:hAnsi="宋体" w:eastAsia="宋体" w:cs="宋体"/>
          <w:color w:val="auto"/>
          <w:sz w:val="24"/>
          <w:szCs w:val="24"/>
          <w:highlight w:val="none"/>
        </w:rPr>
        <w:t>受</w:t>
      </w:r>
      <w:r>
        <w:rPr>
          <w:rFonts w:hint="eastAsia" w:ascii="宋体" w:hAnsi="宋体" w:eastAsia="宋体" w:cs="宋体"/>
          <w:color w:val="auto"/>
          <w:sz w:val="24"/>
          <w:szCs w:val="24"/>
          <w:highlight w:val="none"/>
          <w:lang w:eastAsia="zh-CN"/>
        </w:rPr>
        <w:t>连云港市工业投资集团有限公司</w:t>
      </w:r>
      <w:r>
        <w:rPr>
          <w:rFonts w:hint="eastAsia" w:ascii="宋体" w:hAnsi="宋体" w:eastAsia="宋体" w:cs="宋体"/>
          <w:color w:val="auto"/>
          <w:sz w:val="24"/>
          <w:szCs w:val="24"/>
          <w:highlight w:val="none"/>
        </w:rPr>
        <w:t>委托，就</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eastAsia="zh-CN"/>
        </w:rPr>
        <w:t>中国（江苏）自贸区连云港国际医药创新产业园二期10KV配电工程物资采购变压器项目</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yellow"/>
          <w:lang w:eastAsia="zh-CN"/>
        </w:rPr>
        <w:t>邀请招标</w:t>
      </w:r>
      <w:r>
        <w:rPr>
          <w:rFonts w:hint="eastAsia" w:ascii="宋体" w:hAnsi="宋体" w:eastAsia="宋体" w:cs="宋体"/>
          <w:color w:val="auto"/>
          <w:sz w:val="24"/>
          <w:szCs w:val="24"/>
          <w:highlight w:val="none"/>
        </w:rPr>
        <w:t>采购，现欢迎符合相关条件的供应商参加投标。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项目名称：</w:t>
      </w:r>
      <w:r>
        <w:rPr>
          <w:rFonts w:hint="eastAsia" w:ascii="宋体" w:hAnsi="宋体" w:eastAsia="宋体" w:cs="宋体"/>
          <w:b/>
          <w:bCs/>
          <w:color w:val="auto"/>
          <w:sz w:val="24"/>
          <w:szCs w:val="24"/>
          <w:highlight w:val="none"/>
          <w:lang w:eastAsia="zh-CN"/>
        </w:rPr>
        <w:t xml:space="preserve">中国（江苏）自贸区连云港国际医药创新产业园二期10KV配电工程物资采购变压器项目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ZJDZ20240222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预算金额：</w:t>
      </w:r>
      <w:r>
        <w:rPr>
          <w:rFonts w:hint="eastAsia" w:ascii="宋体" w:hAnsi="宋体" w:eastAsia="宋体" w:cs="宋体"/>
          <w:b/>
          <w:bCs/>
          <w:color w:val="auto"/>
          <w:sz w:val="24"/>
          <w:szCs w:val="24"/>
          <w:highlight w:val="yellow"/>
          <w:lang w:val="en-US" w:eastAsia="zh-CN"/>
        </w:rPr>
        <w:t>1396000.00元</w:t>
      </w:r>
      <w:r>
        <w:rPr>
          <w:rFonts w:hint="eastAsia" w:ascii="宋体" w:hAnsi="宋体" w:eastAsia="宋体" w:cs="宋体"/>
          <w:color w:val="auto"/>
          <w:sz w:val="24"/>
          <w:szCs w:val="24"/>
          <w:highlight w:val="none"/>
          <w:lang w:val="en-US" w:eastAsia="zh-CN"/>
        </w:rPr>
        <w:t>（包含一切不可预见的费用）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投标报价超过预算金额的投标无效。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交货期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yellow"/>
          <w:lang w:val="en-US" w:eastAsia="zh-CN"/>
        </w:rPr>
        <w:t>收到中标通知书后30日内供货完毕；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质量标准：合格，并符合国家现行产品验收合格标准</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二、采购需求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对项目采购需求部分的询问、质疑请与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联系，由</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负责答复。</w:t>
      </w:r>
    </w:p>
    <w:tbl>
      <w:tblPr>
        <w:tblStyle w:val="4"/>
        <w:tblW w:w="5479" w:type="pct"/>
        <w:tblInd w:w="-536" w:type="dxa"/>
        <w:tblLayout w:type="fixed"/>
        <w:tblCellMar>
          <w:top w:w="0" w:type="dxa"/>
          <w:left w:w="0" w:type="dxa"/>
          <w:bottom w:w="0" w:type="dxa"/>
          <w:right w:w="0" w:type="dxa"/>
        </w:tblCellMar>
      </w:tblPr>
      <w:tblGrid>
        <w:gridCol w:w="605"/>
        <w:gridCol w:w="2013"/>
        <w:gridCol w:w="3144"/>
        <w:gridCol w:w="549"/>
        <w:gridCol w:w="862"/>
        <w:gridCol w:w="1961"/>
      </w:tblGrid>
      <w:tr>
        <w:tblPrEx>
          <w:tblCellMar>
            <w:top w:w="0" w:type="dxa"/>
            <w:left w:w="0" w:type="dxa"/>
            <w:bottom w:w="0" w:type="dxa"/>
            <w:right w:w="0" w:type="dxa"/>
          </w:tblCellMar>
        </w:tblPrEx>
        <w:trPr>
          <w:trHeight w:val="450" w:hRule="atLeast"/>
        </w:trPr>
        <w:tc>
          <w:tcPr>
            <w:tcW w:w="331"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序号</w:t>
            </w:r>
          </w:p>
        </w:tc>
        <w:tc>
          <w:tcPr>
            <w:tcW w:w="1101"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货物名称</w:t>
            </w:r>
          </w:p>
        </w:tc>
        <w:tc>
          <w:tcPr>
            <w:tcW w:w="1721"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规格要求</w:t>
            </w:r>
          </w:p>
        </w:tc>
        <w:tc>
          <w:tcPr>
            <w:tcW w:w="300"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单位</w:t>
            </w:r>
          </w:p>
        </w:tc>
        <w:tc>
          <w:tcPr>
            <w:tcW w:w="471"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数量</w:t>
            </w:r>
          </w:p>
        </w:tc>
        <w:tc>
          <w:tcPr>
            <w:tcW w:w="1073"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备注</w:t>
            </w:r>
          </w:p>
        </w:tc>
      </w:tr>
      <w:tr>
        <w:tblPrEx>
          <w:tblCellMar>
            <w:top w:w="0" w:type="dxa"/>
            <w:left w:w="0" w:type="dxa"/>
            <w:bottom w:w="0" w:type="dxa"/>
            <w:right w:w="0" w:type="dxa"/>
          </w:tblCellMar>
        </w:tblPrEx>
        <w:trPr>
          <w:trHeight w:val="779" w:hRule="atLeast"/>
        </w:trPr>
        <w:tc>
          <w:tcPr>
            <w:tcW w:w="33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10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干式变压器</w:t>
            </w:r>
          </w:p>
        </w:tc>
        <w:tc>
          <w:tcPr>
            <w:tcW w:w="172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SCB13-1250KVA/10/0.4KV，IP40(国标三级能耗,含减震)</w:t>
            </w:r>
          </w:p>
        </w:tc>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47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7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yellow"/>
                <w:u w:val="none"/>
                <w:lang w:val="en-US" w:eastAsia="zh-CN" w:bidi="ar"/>
              </w:rPr>
            </w:pPr>
            <w:r>
              <w:rPr>
                <w:rFonts w:hint="eastAsia" w:ascii="宋体" w:hAnsi="宋体" w:eastAsia="宋体" w:cs="宋体"/>
                <w:i w:val="0"/>
                <w:iCs w:val="0"/>
                <w:color w:val="auto"/>
                <w:kern w:val="0"/>
                <w:sz w:val="24"/>
                <w:szCs w:val="24"/>
                <w:highlight w:val="yellow"/>
                <w:u w:val="none"/>
                <w:lang w:val="en-US" w:eastAsia="zh-CN" w:bidi="ar"/>
              </w:rPr>
              <w:t>报价包含材料装卸费用</w:t>
            </w:r>
          </w:p>
        </w:tc>
      </w:tr>
      <w:tr>
        <w:tblPrEx>
          <w:tblCellMar>
            <w:top w:w="0" w:type="dxa"/>
            <w:left w:w="0" w:type="dxa"/>
            <w:bottom w:w="0" w:type="dxa"/>
            <w:right w:w="0" w:type="dxa"/>
          </w:tblCellMar>
        </w:tblPrEx>
        <w:trPr>
          <w:trHeight w:val="818" w:hRule="atLeast"/>
        </w:trPr>
        <w:tc>
          <w:tcPr>
            <w:tcW w:w="33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10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干式变压器</w:t>
            </w:r>
          </w:p>
        </w:tc>
        <w:tc>
          <w:tcPr>
            <w:tcW w:w="172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SCB13-1600KVA/10/0.4KV，IP40(国标三级能耗,含减震)</w:t>
            </w:r>
          </w:p>
        </w:tc>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47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07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yellow"/>
                <w:u w:val="none"/>
                <w:lang w:val="en-US" w:eastAsia="zh-CN" w:bidi="ar"/>
              </w:rPr>
            </w:pPr>
            <w:r>
              <w:rPr>
                <w:rFonts w:hint="eastAsia" w:ascii="宋体" w:hAnsi="宋体" w:eastAsia="宋体" w:cs="宋体"/>
                <w:i w:val="0"/>
                <w:iCs w:val="0"/>
                <w:color w:val="auto"/>
                <w:kern w:val="0"/>
                <w:sz w:val="24"/>
                <w:szCs w:val="24"/>
                <w:highlight w:val="yellow"/>
                <w:u w:val="none"/>
                <w:lang w:val="en-US" w:eastAsia="zh-CN" w:bidi="ar"/>
              </w:rPr>
              <w:t>报价包含材料装卸费用</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三、投标人的资格要求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（1）法人或者其他组织的营业执照等证明文件，自然人的身份证明；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（2）2022年度经审计的财务状况报告或银行出具的资信证明（成立不满一个年度的不需提供）；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（3）依法缴纳税收和社会保障资金的相关证明材料；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（4）具备履行合同所必需的设备和专业技术能力的声明及证明材料；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根据连财购〔2023〕4号文件精神，第（2）、（3）项可以提供《财务状况报告及税收、社会保障资金缴纳情况承诺函》，详见招标文件</w:t>
      </w:r>
      <w:r>
        <w:rPr>
          <w:rFonts w:hint="eastAsia" w:ascii="宋体" w:hAnsi="宋体" w:eastAsia="宋体" w:cs="宋体"/>
          <w:color w:val="auto"/>
          <w:sz w:val="24"/>
          <w:szCs w:val="24"/>
          <w:highlight w:val="none"/>
          <w:lang w:val="en-US" w:eastAsia="zh-CN"/>
        </w:rPr>
        <w:t>格式。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递交截止前被“信用中国”网站（www.creditchina.gov.cn）、中国政府采购网（www.ccgp.gov.cn）列入失信被执行人、重大税收违法案件当事人名单、采购严重违法失信行为记录名单的投标人，拒绝其参与采购活动。（备注：</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或采购代理机构通过“信用中国”网站（www.creditchina.gov.cn）、中国政府采购网（www.ccgp.gov.cn），对供应商信用记录情况进行查询，查询结果页面打印留存。）</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yellow"/>
        </w:rPr>
      </w:pPr>
      <w:r>
        <w:rPr>
          <w:rFonts w:hint="eastAsia" w:ascii="宋体" w:hAnsi="宋体" w:eastAsia="宋体" w:cs="宋体"/>
          <w:b/>
          <w:bCs/>
          <w:color w:val="auto"/>
          <w:sz w:val="24"/>
          <w:szCs w:val="24"/>
          <w:highlight w:val="yellow"/>
        </w:rPr>
        <w:t>2、</w:t>
      </w:r>
      <w:r>
        <w:rPr>
          <w:rFonts w:hint="eastAsia" w:ascii="宋体" w:hAnsi="宋体" w:eastAsia="宋体" w:cs="宋体"/>
          <w:b/>
          <w:bCs/>
          <w:color w:val="auto"/>
          <w:sz w:val="24"/>
          <w:szCs w:val="24"/>
          <w:highlight w:val="yellow"/>
          <w:lang w:val="en-US" w:eastAsia="zh-CN"/>
        </w:rPr>
        <w:t>本次招标接受制造商投标，不接受联合体投标</w:t>
      </w:r>
      <w:r>
        <w:rPr>
          <w:rFonts w:hint="eastAsia" w:ascii="宋体" w:hAnsi="宋体" w:eastAsia="宋体" w:cs="宋体"/>
          <w:b/>
          <w:bCs/>
          <w:color w:val="auto"/>
          <w:sz w:val="24"/>
          <w:szCs w:val="24"/>
          <w:highlight w:val="yellow"/>
        </w:rPr>
        <w:t>，中标后不允许分包或转包。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3、本项目不接受进口产品投标</w:t>
      </w:r>
      <w:r>
        <w:rPr>
          <w:rFonts w:hint="eastAsia" w:ascii="宋体" w:hAnsi="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、法律法规规定的其他条件。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四、招标文件发布及下载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rPr>
        <w:t>获取招标文件时间：20</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日至20</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03</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07</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上午8：30-11：30 ，下午14：30-17：</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0节假日休息</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lang w:eastAsia="zh-CN"/>
        </w:rPr>
        <w:t>获取招标文件地点：中建鼎正项目管理有限公司（连云港市连云区云宿路80号）。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4.3</w:t>
      </w:r>
      <w:r>
        <w:rPr>
          <w:rFonts w:hint="eastAsia" w:ascii="宋体" w:hAnsi="宋体" w:eastAsia="宋体" w:cs="宋体"/>
          <w:color w:val="auto"/>
          <w:sz w:val="24"/>
          <w:szCs w:val="24"/>
          <w:highlight w:val="none"/>
          <w:lang w:eastAsia="zh-CN"/>
        </w:rPr>
        <w:t>获取招标文件方式：</w:t>
      </w:r>
      <w:r>
        <w:rPr>
          <w:rFonts w:hint="eastAsia" w:ascii="宋体" w:hAnsi="宋体" w:eastAsia="宋体" w:cs="宋体"/>
          <w:b/>
          <w:bCs/>
          <w:color w:val="auto"/>
          <w:sz w:val="24"/>
          <w:szCs w:val="24"/>
          <w:highlight w:val="none"/>
          <w:lang w:eastAsia="zh-CN"/>
        </w:rPr>
        <w:t>授权代理人现场购买</w:t>
      </w:r>
      <w:r>
        <w:rPr>
          <w:rFonts w:hint="eastAsia" w:ascii="宋体" w:hAnsi="宋体" w:eastAsia="宋体" w:cs="宋体"/>
          <w:b/>
          <w:bCs/>
          <w:color w:val="auto"/>
          <w:sz w:val="24"/>
          <w:szCs w:val="24"/>
          <w:highlight w:val="none"/>
          <w:lang w:val="en-US" w:eastAsia="zh-CN"/>
        </w:rPr>
        <w:t>或网上报名</w:t>
      </w:r>
      <w:r>
        <w:rPr>
          <w:rFonts w:hint="eastAsia" w:ascii="宋体" w:hAnsi="宋体" w:eastAsia="宋体" w:cs="宋体"/>
          <w:color w:val="auto"/>
          <w:sz w:val="24"/>
          <w:szCs w:val="24"/>
          <w:highlight w:val="none"/>
          <w:lang w:eastAsia="zh-CN"/>
        </w:rPr>
        <w:t>，人民币</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 xml:space="preserve">00元，招标文件售后不退。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获取取招标文件时请携带</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lang w:val="en-US" w:eastAsia="zh-CN"/>
        </w:rPr>
        <w:t>下3</w:t>
      </w:r>
      <w:r>
        <w:rPr>
          <w:rFonts w:hint="eastAsia" w:ascii="宋体" w:hAnsi="宋体" w:eastAsia="宋体" w:cs="宋体"/>
          <w:color w:val="auto"/>
          <w:sz w:val="24"/>
          <w:szCs w:val="24"/>
          <w:highlight w:val="none"/>
        </w:rPr>
        <w:t>项资料</w:t>
      </w:r>
      <w:r>
        <w:rPr>
          <w:rFonts w:hint="eastAsia" w:ascii="宋体" w:hAnsi="宋体" w:eastAsia="宋体" w:cs="宋体"/>
          <w:color w:val="auto"/>
          <w:sz w:val="24"/>
          <w:szCs w:val="24"/>
          <w:highlight w:val="none"/>
          <w:lang w:eastAsia="zh-CN"/>
        </w:rPr>
        <w:t>（数量：</w:t>
      </w:r>
      <w:r>
        <w:rPr>
          <w:rFonts w:hint="eastAsia" w:ascii="宋体" w:hAnsi="宋体" w:eastAsia="宋体" w:cs="宋体"/>
          <w:color w:val="auto"/>
          <w:sz w:val="24"/>
          <w:szCs w:val="24"/>
          <w:highlight w:val="none"/>
          <w:lang w:val="en-US" w:eastAsia="zh-CN"/>
        </w:rPr>
        <w:t>1份</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①</w:t>
      </w:r>
      <w:r>
        <w:rPr>
          <w:rFonts w:hint="eastAsia" w:ascii="宋体" w:hAnsi="宋体" w:eastAsia="宋体" w:cs="宋体"/>
          <w:color w:val="auto"/>
          <w:sz w:val="24"/>
          <w:szCs w:val="24"/>
          <w:highlight w:val="none"/>
          <w:lang w:val="en-US" w:eastAsia="zh-CN"/>
        </w:rPr>
        <w:t>营业执照（</w:t>
      </w:r>
      <w:r>
        <w:rPr>
          <w:rFonts w:hint="eastAsia" w:ascii="宋体" w:hAnsi="宋体" w:eastAsia="宋体" w:cs="宋体"/>
          <w:color w:val="auto"/>
          <w:sz w:val="24"/>
          <w:szCs w:val="24"/>
          <w:highlight w:val="none"/>
          <w:lang w:eastAsia="zh-CN"/>
        </w:rPr>
        <w:t>复印件加盖公章</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w:t>
      </w:r>
      <w:r>
        <w:rPr>
          <w:rFonts w:hint="eastAsia" w:ascii="宋体" w:hAnsi="宋体" w:eastAsia="宋体" w:cs="宋体"/>
          <w:color w:val="auto"/>
          <w:sz w:val="24"/>
          <w:szCs w:val="24"/>
          <w:highlight w:val="none"/>
        </w:rPr>
        <w:t>授权委托人身份证正反面复印件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复印件加盖公章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③</w:t>
      </w:r>
      <w:r>
        <w:rPr>
          <w:rFonts w:hint="eastAsia" w:ascii="宋体" w:hAnsi="宋体" w:eastAsia="宋体" w:cs="宋体"/>
          <w:color w:val="auto"/>
          <w:sz w:val="24"/>
          <w:szCs w:val="24"/>
          <w:highlight w:val="none"/>
        </w:rPr>
        <w:t>单位介绍信或授权委托书</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加盖公章</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请将以上资料的扫描件，于2020年9月17日至2020年9月21日，每日上午8时30分至12时00分，下午14时30分至18时00分（北京时间，下同），发送到邮箱410135712@qq.com，并联系代理机构联系人购买招标文件，费用为300元，购买成功方为报名成功。"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请将以上资料的扫描件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按照规定的报名时间内</w:t>
      </w:r>
      <w:r>
        <w:rPr>
          <w:rFonts w:hint="eastAsia" w:ascii="宋体" w:hAnsi="宋体" w:eastAsia="宋体" w:cs="宋体"/>
          <w:color w:val="auto"/>
          <w:sz w:val="24"/>
          <w:szCs w:val="24"/>
          <w:highlight w:val="none"/>
        </w:rPr>
        <w:t>，发送到邮箱2301847366@qq.com,</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（缴费联系电话：0518-86080863），缴费成功并报名资料符合要求方为报名成功。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五、公告期限</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本项目</w:t>
      </w:r>
      <w:r>
        <w:rPr>
          <w:rFonts w:hint="eastAsia" w:ascii="宋体" w:hAnsi="宋体" w:eastAsia="宋体" w:cs="宋体"/>
          <w:b/>
          <w:bCs/>
          <w:color w:val="auto"/>
          <w:sz w:val="24"/>
          <w:szCs w:val="24"/>
          <w:highlight w:val="none"/>
          <w:lang w:eastAsia="zh-CN"/>
        </w:rPr>
        <w:t>投标邀请书</w:t>
      </w:r>
      <w:r>
        <w:rPr>
          <w:rFonts w:hint="eastAsia" w:ascii="宋体" w:hAnsi="宋体" w:eastAsia="宋体" w:cs="宋体"/>
          <w:b/>
          <w:bCs/>
          <w:color w:val="auto"/>
          <w:sz w:val="24"/>
          <w:szCs w:val="24"/>
          <w:highlight w:val="none"/>
        </w:rPr>
        <w:t>期限为5个工作日。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六、提交投标文件截止时间、开标时间和地点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1.投标文件接收时间与地点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投标文件接收截止时间：202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03</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日上午09:</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0:00（北京时间）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2.开标时间与地点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03</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日上午09:</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0:00（北京时间）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开标地点：</w:t>
      </w:r>
      <w:r>
        <w:rPr>
          <w:rFonts w:hint="eastAsia" w:ascii="宋体" w:hAnsi="宋体" w:eastAsia="宋体" w:cs="宋体"/>
          <w:color w:val="auto"/>
          <w:sz w:val="24"/>
          <w:szCs w:val="24"/>
          <w:highlight w:val="yellow"/>
          <w:lang w:eastAsia="zh-CN"/>
        </w:rPr>
        <w:t>中建鼎正项目管理有限公司（连云港市连云区云宿路80号）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七、本项目投标保证金要求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（1）投标保证金的金额：</w:t>
      </w:r>
      <w:r>
        <w:rPr>
          <w:rFonts w:hint="eastAsia" w:ascii="宋体" w:hAnsi="宋体" w:eastAsia="宋体" w:cs="宋体"/>
          <w:color w:val="auto"/>
          <w:sz w:val="24"/>
          <w:szCs w:val="24"/>
          <w:highlight w:val="none"/>
          <w:lang w:val="en-US" w:eastAsia="zh-CN"/>
        </w:rPr>
        <w:t>人民币贰万元整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20000元</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（2）投标保证金的形式：电汇、转账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投标保证金应采用电汇或转账的方式，同时应确保投标保证金的款项必须在投标文件递交截止时间前由投标人的基本账户一次性划拨到招标代理机构指定的账号上，超出本招标文件规定时间和要求递交投标保证金的一律不予接收，并按照招标文件有关规定作重大偏差处理。汇款时在用途栏注明投标保证金，在备注栏注明项目名称及标段，以便查询和及时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（4）招标代理机构指定账户：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收 款 人：中建鼎正项目管理有限公司连云港分公司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开户行：中国建设银行连云港港口支行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账  号：32050165903600002017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单位地址：连云港市连云区云宿路80号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联系电话：0518-86080863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（5）下列情况发生时，投标保证金将由招标人全部扣除：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①投标人在开标后要求撤回投标的；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lang w:eastAsia="zh-CN"/>
        </w:rPr>
        <w:t>中标供应商未按规定的时间、地点与招标人签订合同的；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八、评标方法：</w:t>
      </w:r>
      <w:r>
        <w:rPr>
          <w:rFonts w:hint="eastAsia" w:ascii="宋体" w:hAnsi="宋体" w:eastAsia="宋体" w:cs="宋体"/>
          <w:b/>
          <w:bCs/>
          <w:color w:val="auto"/>
          <w:sz w:val="24"/>
          <w:szCs w:val="24"/>
          <w:highlight w:val="none"/>
          <w:lang w:val="en-US" w:eastAsia="zh-CN"/>
        </w:rPr>
        <w:t>最低评标价法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rPr>
        <w:t>本次招标采购联系事项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招 标 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连云港市工业投资集团有限公司</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 xml:space="preserve"> 连云港市海州区花果山大道109号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 系 人：  </w:t>
      </w:r>
      <w:r>
        <w:rPr>
          <w:rFonts w:hint="eastAsia" w:ascii="宋体" w:hAnsi="宋体" w:eastAsia="宋体" w:cs="宋体"/>
          <w:color w:val="auto"/>
          <w:sz w:val="24"/>
          <w:szCs w:val="24"/>
          <w:highlight w:val="none"/>
          <w:lang w:eastAsia="zh-CN"/>
        </w:rPr>
        <w:t>杨</w:t>
      </w:r>
      <w:r>
        <w:rPr>
          <w:rFonts w:hint="eastAsia" w:ascii="宋体" w:hAnsi="宋体" w:eastAsia="宋体" w:cs="宋体"/>
          <w:color w:val="auto"/>
          <w:sz w:val="24"/>
          <w:szCs w:val="24"/>
          <w:highlight w:val="none"/>
          <w:lang w:val="en-US" w:eastAsia="zh-CN"/>
        </w:rPr>
        <w:t xml:space="preserve">工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电    话： </w:t>
      </w:r>
      <w:r>
        <w:rPr>
          <w:rFonts w:hint="eastAsia" w:ascii="宋体" w:hAnsi="宋体" w:eastAsia="宋体" w:cs="宋体"/>
          <w:color w:val="auto"/>
          <w:sz w:val="24"/>
          <w:szCs w:val="24"/>
          <w:highlight w:val="none"/>
          <w:lang w:val="en-US" w:eastAsia="zh-CN"/>
        </w:rPr>
        <w:t>19901572048</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招标代理机构：中建鼎正项目管理有限公司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 中建鼎正项目管理有限公司（连云港市连云区云宿路80号）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 系 人： 干工</w:t>
      </w:r>
    </w:p>
    <w:p>
      <w:pPr>
        <w:bidi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    话： 0518-86080865</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pStyle w:val="2"/>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000000"/>
    <w:rsid w:val="46511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numPr>
        <w:ilvl w:val="3"/>
        <w:numId w:val="1"/>
      </w:numPr>
      <w:adjustRightInd w:val="0"/>
      <w:spacing w:before="120" w:line="360" w:lineRule="auto"/>
      <w:textAlignment w:val="baseline"/>
      <w:outlineLvl w:val="3"/>
    </w:pPr>
    <w:rPr>
      <w:rFonts w:ascii="Arial" w:eastAsia="黑体"/>
      <w:kern w:val="0"/>
      <w:sz w:val="28"/>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2024-02-29T09:48:11Z</dcterms:created>
  <dc:creator>Administrator</dc:creator>
  <cp:lastModifiedBy>木木</cp:lastModifiedBy>
  <dcterms:modified xsi:type="dcterms:W3CDTF">2024-02-29T09:48:17Z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2B0CBA43D6C3420682496261E2CC365E_12</vt:lpwstr>
  </property>
</Properties>
</file>